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ACC" w:rsidRPr="007B1F37" w:rsidRDefault="00B67ACC" w:rsidP="001A10B6">
      <w:pPr>
        <w:rPr>
          <w:b/>
          <w:color w:val="44546A" w:themeColor="text2"/>
          <w:sz w:val="28"/>
          <w:szCs w:val="28"/>
        </w:rPr>
      </w:pPr>
    </w:p>
    <w:tbl>
      <w:tblPr>
        <w:tblStyle w:val="Tablaconcuadrcula"/>
        <w:tblpPr w:leftFromText="141" w:rightFromText="141" w:vertAnchor="text" w:tblpY="1"/>
        <w:tblOverlap w:val="never"/>
        <w:tblW w:w="5000"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655"/>
        <w:gridCol w:w="10885"/>
      </w:tblGrid>
      <w:tr w:rsidR="00D859D1" w:rsidTr="0087145A">
        <w:trPr>
          <w:tblHeader/>
        </w:trPr>
        <w:tc>
          <w:tcPr>
            <w:tcW w:w="5000" w:type="pct"/>
            <w:gridSpan w:val="2"/>
            <w:tcBorders>
              <w:top w:val="double" w:sz="4" w:space="0" w:color="1F3864" w:themeColor="accent5" w:themeShade="80"/>
              <w:left w:val="double" w:sz="4" w:space="0" w:color="1F3864" w:themeColor="accent5" w:themeShade="80"/>
              <w:bottom w:val="nil"/>
              <w:right w:val="double" w:sz="4" w:space="0" w:color="1F3864" w:themeColor="accent5" w:themeShade="80"/>
            </w:tcBorders>
            <w:shd w:val="clear" w:color="auto" w:fill="E7E6E6" w:themeFill="background2"/>
          </w:tcPr>
          <w:p w:rsidR="00D859D1" w:rsidRPr="00D859D1" w:rsidRDefault="00B36118" w:rsidP="00B36118">
            <w:pPr>
              <w:rPr>
                <w:b/>
              </w:rPr>
            </w:pPr>
            <w:r>
              <w:rPr>
                <w:b/>
              </w:rPr>
              <w:t>CASOPRIMERO</w:t>
            </w:r>
            <w:r w:rsidR="00D859D1">
              <w:rPr>
                <w:b/>
              </w:rPr>
              <w:t>, S.A.</w:t>
            </w:r>
          </w:p>
        </w:tc>
      </w:tr>
      <w:tr w:rsidR="001A10B6" w:rsidTr="0087145A">
        <w:trPr>
          <w:trHeight w:val="405"/>
          <w:tblHeader/>
        </w:trPr>
        <w:tc>
          <w:tcPr>
            <w:tcW w:w="5000" w:type="pct"/>
            <w:gridSpan w:val="2"/>
            <w:tcBorders>
              <w:top w:val="nil"/>
              <w:left w:val="double" w:sz="4" w:space="0" w:color="1F3864" w:themeColor="accent5" w:themeShade="80"/>
              <w:bottom w:val="double" w:sz="4" w:space="0" w:color="1F3864" w:themeColor="accent5" w:themeShade="80"/>
              <w:right w:val="double" w:sz="4" w:space="0" w:color="1F3864" w:themeColor="accent5" w:themeShade="80"/>
            </w:tcBorders>
            <w:shd w:val="clear" w:color="auto" w:fill="E7E6E6" w:themeFill="background2"/>
            <w:vAlign w:val="center"/>
          </w:tcPr>
          <w:p w:rsidR="001A10B6" w:rsidRDefault="001A10B6" w:rsidP="001A10B6">
            <w:pPr>
              <w:rPr>
                <w:b/>
              </w:rPr>
            </w:pPr>
            <w:r w:rsidRPr="004D6D8A">
              <w:rPr>
                <w:b/>
              </w:rPr>
              <w:t>Calificar las conclusiones de auditoría determinando la ubicación (o no) de cada casuística en el informe de auditoría, y su redacción.</w:t>
            </w:r>
          </w:p>
        </w:tc>
      </w:tr>
      <w:tr w:rsidR="00D859D1" w:rsidTr="0087145A">
        <w:trPr>
          <w:trHeight w:val="399"/>
        </w:trPr>
        <w:tc>
          <w:tcPr>
            <w:tcW w:w="1257" w:type="pct"/>
            <w:tcBorders>
              <w:top w:val="double" w:sz="4" w:space="0" w:color="1F3864" w:themeColor="accent5" w:themeShade="80"/>
              <w:left w:val="double" w:sz="4" w:space="0" w:color="1F3864" w:themeColor="accent5" w:themeShade="80"/>
            </w:tcBorders>
            <w:shd w:val="clear" w:color="auto" w:fill="E7E6E6" w:themeFill="background2"/>
            <w:vAlign w:val="center"/>
          </w:tcPr>
          <w:p w:rsidR="00D859D1" w:rsidRDefault="00D859D1" w:rsidP="0029254F">
            <w:pPr>
              <w:jc w:val="center"/>
            </w:pPr>
            <w:r>
              <w:t>Cierre del ejercicio auditado</w:t>
            </w:r>
          </w:p>
        </w:tc>
        <w:tc>
          <w:tcPr>
            <w:tcW w:w="3743" w:type="pct"/>
            <w:tcBorders>
              <w:top w:val="double" w:sz="4" w:space="0" w:color="1F3864" w:themeColor="accent5" w:themeShade="80"/>
              <w:right w:val="double" w:sz="4" w:space="0" w:color="1F3864" w:themeColor="accent5" w:themeShade="80"/>
            </w:tcBorders>
            <w:shd w:val="clear" w:color="auto" w:fill="E7E6E6" w:themeFill="background2"/>
            <w:vAlign w:val="center"/>
          </w:tcPr>
          <w:p w:rsidR="00D859D1" w:rsidRDefault="00D859D1" w:rsidP="0029254F">
            <w:pPr>
              <w:jc w:val="center"/>
            </w:pPr>
            <w:r>
              <w:t>31 de diciembre de 2018</w:t>
            </w:r>
          </w:p>
        </w:tc>
      </w:tr>
      <w:tr w:rsidR="00D859D1" w:rsidTr="0087145A">
        <w:trPr>
          <w:trHeight w:val="411"/>
        </w:trPr>
        <w:tc>
          <w:tcPr>
            <w:tcW w:w="1257" w:type="pct"/>
            <w:tcBorders>
              <w:left w:val="double" w:sz="4" w:space="0" w:color="1F3864" w:themeColor="accent5" w:themeShade="80"/>
            </w:tcBorders>
            <w:shd w:val="clear" w:color="auto" w:fill="E7E6E6" w:themeFill="background2"/>
            <w:vAlign w:val="center"/>
          </w:tcPr>
          <w:p w:rsidR="00D859D1" w:rsidRDefault="00D859D1" w:rsidP="0029254F">
            <w:pPr>
              <w:jc w:val="center"/>
            </w:pPr>
            <w:r>
              <w:t>Formato de cuentas anuales</w:t>
            </w:r>
          </w:p>
        </w:tc>
        <w:tc>
          <w:tcPr>
            <w:tcW w:w="3743" w:type="pct"/>
            <w:tcBorders>
              <w:right w:val="double" w:sz="4" w:space="0" w:color="1F3864" w:themeColor="accent5" w:themeShade="80"/>
            </w:tcBorders>
            <w:shd w:val="clear" w:color="auto" w:fill="E7E6E6" w:themeFill="background2"/>
            <w:vAlign w:val="center"/>
          </w:tcPr>
          <w:p w:rsidR="00D859D1" w:rsidRDefault="00D859D1" w:rsidP="0029254F">
            <w:pPr>
              <w:jc w:val="center"/>
            </w:pPr>
            <w:r>
              <w:t>Normal</w:t>
            </w:r>
          </w:p>
        </w:tc>
      </w:tr>
      <w:tr w:rsidR="00D859D1" w:rsidTr="0087145A">
        <w:trPr>
          <w:trHeight w:val="713"/>
        </w:trPr>
        <w:tc>
          <w:tcPr>
            <w:tcW w:w="1257" w:type="pct"/>
            <w:tcBorders>
              <w:left w:val="double" w:sz="4" w:space="0" w:color="1F3864" w:themeColor="accent5" w:themeShade="80"/>
              <w:bottom w:val="double" w:sz="4" w:space="0" w:color="1F3864" w:themeColor="accent5" w:themeShade="80"/>
            </w:tcBorders>
            <w:shd w:val="clear" w:color="auto" w:fill="E7E6E6" w:themeFill="background2"/>
            <w:vAlign w:val="center"/>
          </w:tcPr>
          <w:p w:rsidR="00D859D1" w:rsidRDefault="00D859D1" w:rsidP="0029254F">
            <w:pPr>
              <w:jc w:val="center"/>
            </w:pPr>
            <w:r>
              <w:t>Cuentas anuales del ejercicio anterior auditadas por otra firma</w:t>
            </w:r>
          </w:p>
        </w:tc>
        <w:tc>
          <w:tcPr>
            <w:tcW w:w="3743" w:type="pct"/>
            <w:tcBorders>
              <w:bottom w:val="double" w:sz="4" w:space="0" w:color="1F3864" w:themeColor="accent5" w:themeShade="80"/>
              <w:right w:val="double" w:sz="4" w:space="0" w:color="1F3864" w:themeColor="accent5" w:themeShade="80"/>
            </w:tcBorders>
            <w:shd w:val="clear" w:color="auto" w:fill="E7E6E6" w:themeFill="background2"/>
            <w:vAlign w:val="center"/>
          </w:tcPr>
          <w:p w:rsidR="00D859D1" w:rsidRDefault="00D859D1" w:rsidP="0029254F">
            <w:pPr>
              <w:jc w:val="center"/>
            </w:pPr>
            <w:r>
              <w:t>opinión con salvedades por limitaciones al alcance en relación con los saldos de deudas a con entidades financieras</w:t>
            </w:r>
          </w:p>
          <w:p w:rsidR="00D859D1" w:rsidRPr="004D6D8A" w:rsidRDefault="00D859D1" w:rsidP="0029254F">
            <w:pPr>
              <w:jc w:val="center"/>
              <w:rPr>
                <w:sz w:val="8"/>
                <w:szCs w:val="8"/>
              </w:rPr>
            </w:pPr>
          </w:p>
          <w:p w:rsidR="00D859D1" w:rsidRDefault="00D859D1" w:rsidP="0029254F">
            <w:pPr>
              <w:jc w:val="center"/>
            </w:pPr>
            <w:r>
              <w:t xml:space="preserve">Fecha </w:t>
            </w:r>
            <w:r w:rsidR="008720D1">
              <w:t>del informe: 14 de junio de 2018</w:t>
            </w:r>
          </w:p>
        </w:tc>
      </w:tr>
    </w:tbl>
    <w:p w:rsidR="00890501" w:rsidRDefault="00890501" w:rsidP="004B60D9">
      <w:pPr>
        <w:spacing w:after="0"/>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blBorders>
        <w:tblLook w:val="04A0" w:firstRow="1" w:lastRow="0" w:firstColumn="1" w:lastColumn="0" w:noHBand="0" w:noVBand="1"/>
      </w:tblPr>
      <w:tblGrid>
        <w:gridCol w:w="9624"/>
        <w:gridCol w:w="2410"/>
        <w:gridCol w:w="2506"/>
      </w:tblGrid>
      <w:tr w:rsidR="004B60D9" w:rsidRPr="004B60D9" w:rsidTr="004B60D9">
        <w:trPr>
          <w:trHeight w:val="375"/>
          <w:tblHeader/>
        </w:trPr>
        <w:tc>
          <w:tcPr>
            <w:tcW w:w="9624" w:type="dxa"/>
            <w:tcBorders>
              <w:top w:val="double" w:sz="4" w:space="0" w:color="1F3864" w:themeColor="accent5" w:themeShade="80"/>
              <w:bottom w:val="double" w:sz="4" w:space="0" w:color="1F3864" w:themeColor="accent5" w:themeShade="80"/>
              <w:right w:val="single" w:sz="4" w:space="0" w:color="1F3864" w:themeColor="accent5" w:themeShade="80"/>
            </w:tcBorders>
            <w:shd w:val="clear" w:color="auto" w:fill="F2F2F2" w:themeFill="background1" w:themeFillShade="F2"/>
            <w:vAlign w:val="center"/>
          </w:tcPr>
          <w:p w:rsidR="004B60D9" w:rsidRPr="004B60D9" w:rsidRDefault="004B60D9" w:rsidP="004B60D9">
            <w:pPr>
              <w:jc w:val="center"/>
              <w:rPr>
                <w:b/>
              </w:rPr>
            </w:pPr>
            <w:r>
              <w:rPr>
                <w:b/>
              </w:rPr>
              <w:t>Conclusiones del trabajo realizado (CASOPRIMERO)</w:t>
            </w:r>
          </w:p>
        </w:tc>
        <w:tc>
          <w:tcPr>
            <w:tcW w:w="2410" w:type="dxa"/>
            <w:tcBorders>
              <w:top w:val="double" w:sz="4" w:space="0" w:color="1F3864" w:themeColor="accent5" w:themeShade="80"/>
              <w:left w:val="single" w:sz="4" w:space="0" w:color="1F3864" w:themeColor="accent5" w:themeShade="80"/>
              <w:bottom w:val="double" w:sz="4" w:space="0" w:color="1F3864" w:themeColor="accent5" w:themeShade="80"/>
              <w:right w:val="single" w:sz="4" w:space="0" w:color="1F3864" w:themeColor="accent5" w:themeShade="80"/>
            </w:tcBorders>
            <w:shd w:val="clear" w:color="auto" w:fill="F2F2F2" w:themeFill="background1" w:themeFillShade="F2"/>
            <w:vAlign w:val="center"/>
          </w:tcPr>
          <w:p w:rsidR="004B60D9" w:rsidRPr="004B60D9" w:rsidRDefault="004B60D9" w:rsidP="004B60D9">
            <w:pPr>
              <w:jc w:val="center"/>
              <w:rPr>
                <w:b/>
              </w:rPr>
            </w:pPr>
            <w:r>
              <w:rPr>
                <w:b/>
              </w:rPr>
              <w:t>Calificación y significatividad</w:t>
            </w:r>
          </w:p>
        </w:tc>
        <w:tc>
          <w:tcPr>
            <w:tcW w:w="2506" w:type="dxa"/>
            <w:tcBorders>
              <w:top w:val="double" w:sz="4" w:space="0" w:color="1F3864" w:themeColor="accent5" w:themeShade="80"/>
              <w:left w:val="single" w:sz="4" w:space="0" w:color="1F3864" w:themeColor="accent5" w:themeShade="80"/>
              <w:bottom w:val="double" w:sz="4" w:space="0" w:color="1F3864" w:themeColor="accent5" w:themeShade="80"/>
            </w:tcBorders>
            <w:shd w:val="clear" w:color="auto" w:fill="F2F2F2" w:themeFill="background1" w:themeFillShade="F2"/>
            <w:vAlign w:val="center"/>
          </w:tcPr>
          <w:p w:rsidR="004B60D9" w:rsidRPr="004B60D9" w:rsidRDefault="004B60D9" w:rsidP="004B60D9">
            <w:pPr>
              <w:jc w:val="center"/>
              <w:rPr>
                <w:b/>
              </w:rPr>
            </w:pPr>
            <w:r>
              <w:rPr>
                <w:b/>
              </w:rPr>
              <w:t>Ubicación en informe</w:t>
            </w:r>
          </w:p>
        </w:tc>
      </w:tr>
      <w:tr w:rsidR="004B60D9" w:rsidTr="004B60D9">
        <w:tc>
          <w:tcPr>
            <w:tcW w:w="9624" w:type="dxa"/>
            <w:tcBorders>
              <w:top w:val="double" w:sz="4" w:space="0" w:color="1F3864" w:themeColor="accent5" w:themeShade="80"/>
              <w:bottom w:val="single" w:sz="4" w:space="0" w:color="1F3864" w:themeColor="accent5" w:themeShade="80"/>
              <w:right w:val="single" w:sz="4" w:space="0" w:color="1F3864" w:themeColor="accent5" w:themeShade="80"/>
            </w:tcBorders>
          </w:tcPr>
          <w:p w:rsidR="004B60D9" w:rsidRDefault="004B60D9">
            <w:r w:rsidRPr="004B60D9">
              <w:t>La Sociedad registra en el epígrafe del activo “A.VI. Activos por impuesto diferido” un crédito fiscal por pérdidas del ejercicio y anteriores de 1.225.000 euros (1.150.000 euros en la información comparativa del ejercicio anterior) cuya recuperabilidad está sujeta a la generación de ganancias fiscales suficientes para permitir compensar la totalidad de las bases imponibles negativas existentes. Debido a la situación de pérdidas recurrentes en que se encuentra la Entidad, la contabilización de estos créditos fiscales no se ajusta a los principios y criterios contables del marco normativo de información financiera que le es de aplicación. Por lo tanto, el activo no corriente y el patrimonio neto del balance de los años 2018 y 2017 se encuentran sobrevalorados en 1.225.000 euros y 1.150.000 euros respectivamente, y el resultado del ejercicio 2018 debería minorarse en 75.000 euros por el incremento del crédito fiscal reconocido en el ejercicio 2018.</w:t>
            </w:r>
          </w:p>
        </w:tc>
        <w:tc>
          <w:tcPr>
            <w:tcW w:w="2410" w:type="dxa"/>
            <w:tcBorders>
              <w:top w:val="doub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rsidR="004B60D9" w:rsidRDefault="004B60D9"/>
        </w:tc>
        <w:tc>
          <w:tcPr>
            <w:tcW w:w="2506" w:type="dxa"/>
            <w:tcBorders>
              <w:top w:val="double" w:sz="4" w:space="0" w:color="1F3864" w:themeColor="accent5" w:themeShade="80"/>
              <w:left w:val="single" w:sz="4" w:space="0" w:color="1F3864" w:themeColor="accent5" w:themeShade="80"/>
              <w:bottom w:val="single" w:sz="4" w:space="0" w:color="1F3864" w:themeColor="accent5" w:themeShade="80"/>
            </w:tcBorders>
            <w:shd w:val="clear" w:color="auto" w:fill="DEEAF6" w:themeFill="accent1" w:themeFillTint="33"/>
          </w:tcPr>
          <w:p w:rsidR="004B60D9" w:rsidRDefault="004B60D9"/>
        </w:tc>
      </w:tr>
      <w:tr w:rsidR="004B60D9" w:rsidTr="004B60D9">
        <w:tc>
          <w:tcPr>
            <w:tcW w:w="9624" w:type="dxa"/>
            <w:tcBorders>
              <w:top w:val="single" w:sz="4" w:space="0" w:color="1F3864" w:themeColor="accent5" w:themeShade="80"/>
              <w:bottom w:val="single" w:sz="4" w:space="0" w:color="1F3864" w:themeColor="accent5" w:themeShade="80"/>
              <w:right w:val="single" w:sz="4" w:space="0" w:color="1F3864" w:themeColor="accent5" w:themeShade="80"/>
            </w:tcBorders>
          </w:tcPr>
          <w:p w:rsidR="004B60D9" w:rsidRDefault="004B60D9">
            <w:r w:rsidRPr="004B60D9">
              <w:t>La partida del activo corriente “B.V.2. Créditos a empresas” recoge un crédito frente a partes vinculadas por importe de 2.960.000 euros, de idéntica cuantía al que registran las cifras comparativas referidas al ejercicio anterior, y que no ha tenido movimiento ni durante el ejercicio 2018 ni en el ejercicio precedente. La información financiera del deudor y las garantías afectas para su liquidación, evidencian dudas razonables sobre la capacidad de la Sociedad para liquidar el crédito, sin que se haya procedido a registrar su deterioro. En consecuencia, el epígrafe V. Inversiones financieras a corto plazo del activo corriente de los ejercicios  y los Fondos Propios en el balance de situación de los ejercicios 2018 y 2017 se encuentran sobrevalorados en dicho importe.</w:t>
            </w:r>
          </w:p>
        </w:tc>
        <w:tc>
          <w:tcPr>
            <w:tcW w:w="241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rsidR="004B60D9" w:rsidRDefault="004B60D9"/>
        </w:tc>
        <w:tc>
          <w:tcPr>
            <w:tcW w:w="2506" w:type="dxa"/>
            <w:tcBorders>
              <w:top w:val="single" w:sz="4" w:space="0" w:color="1F3864" w:themeColor="accent5" w:themeShade="80"/>
              <w:left w:val="single" w:sz="4" w:space="0" w:color="1F3864" w:themeColor="accent5" w:themeShade="80"/>
              <w:bottom w:val="single" w:sz="4" w:space="0" w:color="1F3864" w:themeColor="accent5" w:themeShade="80"/>
            </w:tcBorders>
            <w:shd w:val="clear" w:color="auto" w:fill="DEEAF6" w:themeFill="accent1" w:themeFillTint="33"/>
          </w:tcPr>
          <w:p w:rsidR="004B60D9" w:rsidRDefault="004B60D9"/>
        </w:tc>
      </w:tr>
      <w:tr w:rsidR="004B60D9" w:rsidTr="004B60D9">
        <w:tc>
          <w:tcPr>
            <w:tcW w:w="9624" w:type="dxa"/>
            <w:tcBorders>
              <w:top w:val="single" w:sz="4" w:space="0" w:color="1F3864" w:themeColor="accent5" w:themeShade="80"/>
              <w:bottom w:val="single" w:sz="4" w:space="0" w:color="1F3864" w:themeColor="accent5" w:themeShade="80"/>
              <w:right w:val="single" w:sz="4" w:space="0" w:color="1F3864" w:themeColor="accent5" w:themeShade="80"/>
            </w:tcBorders>
          </w:tcPr>
          <w:p w:rsidR="004B60D9" w:rsidRDefault="004B60D9" w:rsidP="004B60D9">
            <w:r>
              <w:lastRenderedPageBreak/>
              <w:t>No hemos obtenido confirmación de una parte muy significativa de las partidas que componen el saldo de la partida del pasivo corriente del balance “C.III. 2. Deudas con entidades de crédito” por importe de 5.800.000 euros. Debido a la relevancia de la cuantía, la situación de impago generalizada sobre la deuda bancaria y la falta de registro de intereses que pudieran haberse devengado, no estamos en posición de opinar sobre la integridad de esta partida del balance.</w:t>
            </w:r>
          </w:p>
          <w:p w:rsidR="004B60D9" w:rsidRDefault="004B60D9" w:rsidP="004B60D9"/>
          <w:p w:rsidR="004B60D9" w:rsidRDefault="004B60D9" w:rsidP="004B60D9">
            <w:r>
              <w:t>La opinión de auditoría sobre las cuentas anuales correspondientes al ejercicio terminado el 31 de diciembre de 2017, emitida por otro auditor, contenía una salvedad por esta cuestión.</w:t>
            </w:r>
          </w:p>
        </w:tc>
        <w:tc>
          <w:tcPr>
            <w:tcW w:w="241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rsidR="004B60D9" w:rsidRDefault="004B60D9"/>
        </w:tc>
        <w:tc>
          <w:tcPr>
            <w:tcW w:w="2506" w:type="dxa"/>
            <w:tcBorders>
              <w:top w:val="single" w:sz="4" w:space="0" w:color="1F3864" w:themeColor="accent5" w:themeShade="80"/>
              <w:left w:val="single" w:sz="4" w:space="0" w:color="1F3864" w:themeColor="accent5" w:themeShade="80"/>
              <w:bottom w:val="single" w:sz="4" w:space="0" w:color="1F3864" w:themeColor="accent5" w:themeShade="80"/>
            </w:tcBorders>
            <w:shd w:val="clear" w:color="auto" w:fill="DEEAF6" w:themeFill="accent1" w:themeFillTint="33"/>
          </w:tcPr>
          <w:p w:rsidR="004B60D9" w:rsidRDefault="004B60D9"/>
        </w:tc>
      </w:tr>
      <w:tr w:rsidR="004B60D9" w:rsidTr="004B60D9">
        <w:tc>
          <w:tcPr>
            <w:tcW w:w="9624" w:type="dxa"/>
            <w:tcBorders>
              <w:top w:val="single" w:sz="4" w:space="0" w:color="1F3864" w:themeColor="accent5" w:themeShade="80"/>
              <w:bottom w:val="single" w:sz="4" w:space="0" w:color="1F3864" w:themeColor="accent5" w:themeShade="80"/>
            </w:tcBorders>
          </w:tcPr>
          <w:p w:rsidR="004B60D9" w:rsidRDefault="004B60D9">
            <w:r w:rsidRPr="004B60D9">
              <w:t>La Sociedad no tiene implementado un sistema de control que permita la aplicación de procedimientos de auditoría adecuados para una adecuada revisión de los flujos de entradas y salidas de mercancías, o la reconstrucción de sus existencias finales mediante un inventario de naturaleza permanente. Estas circunstancias implican que no hayamos podido obtener evidencia de auditoría suficiente y adecuada sobre la integridad de las ventas, ni determinar el efecto de los ajustes que podrían haberse considerado necesarios en relación con los aprovisionamientos y la cifra de existencias que figuran en los Estados Financieros adjuntos.</w:t>
            </w:r>
          </w:p>
        </w:tc>
        <w:tc>
          <w:tcPr>
            <w:tcW w:w="2410" w:type="dxa"/>
            <w:tcBorders>
              <w:top w:val="single" w:sz="4" w:space="0" w:color="1F3864" w:themeColor="accent5" w:themeShade="80"/>
              <w:bottom w:val="single" w:sz="4" w:space="0" w:color="1F3864" w:themeColor="accent5" w:themeShade="80"/>
            </w:tcBorders>
            <w:shd w:val="clear" w:color="auto" w:fill="DEEAF6" w:themeFill="accent1" w:themeFillTint="33"/>
          </w:tcPr>
          <w:p w:rsidR="004B60D9" w:rsidRDefault="004B60D9"/>
        </w:tc>
        <w:tc>
          <w:tcPr>
            <w:tcW w:w="2506" w:type="dxa"/>
            <w:tcBorders>
              <w:top w:val="single" w:sz="4" w:space="0" w:color="1F3864" w:themeColor="accent5" w:themeShade="80"/>
              <w:bottom w:val="single" w:sz="4" w:space="0" w:color="1F3864" w:themeColor="accent5" w:themeShade="80"/>
            </w:tcBorders>
            <w:shd w:val="clear" w:color="auto" w:fill="DEEAF6" w:themeFill="accent1" w:themeFillTint="33"/>
          </w:tcPr>
          <w:p w:rsidR="004B60D9" w:rsidRDefault="004B60D9"/>
        </w:tc>
      </w:tr>
      <w:tr w:rsidR="004B60D9" w:rsidTr="004B60D9">
        <w:tc>
          <w:tcPr>
            <w:tcW w:w="9624" w:type="dxa"/>
            <w:tcBorders>
              <w:top w:val="single" w:sz="4" w:space="0" w:color="1F3864" w:themeColor="accent5" w:themeShade="80"/>
            </w:tcBorders>
          </w:tcPr>
          <w:p w:rsidR="004B60D9" w:rsidRPr="008219D8" w:rsidRDefault="004B60D9" w:rsidP="004B60D9">
            <w:r w:rsidRPr="009B7F7C">
              <w:t xml:space="preserve">En la nota 2.3 de la memoria </w:t>
            </w:r>
            <w:r>
              <w:t xml:space="preserve">adjunta </w:t>
            </w:r>
            <w:r w:rsidRPr="009B7F7C">
              <w:t xml:space="preserve">los administradores informan sobre la existencia de circunstancias que pudieran </w:t>
            </w:r>
            <w:r>
              <w:t xml:space="preserve">generar </w:t>
            </w:r>
            <w:r w:rsidRPr="009B7F7C">
              <w:t>duda</w:t>
            </w:r>
            <w:r>
              <w:t>s</w:t>
            </w:r>
            <w:r w:rsidRPr="009B7F7C">
              <w:t xml:space="preserve"> en la aplicación del principio de empresa en funcionamiento</w:t>
            </w:r>
            <w:r>
              <w:t xml:space="preserve">, junto con los planes previstos para mitigar estas dudas, </w:t>
            </w:r>
            <w:r w:rsidRPr="00E20ECA">
              <w:rPr>
                <w:color w:val="2F5496" w:themeColor="accent5" w:themeShade="BF"/>
                <w:u w:val="single"/>
              </w:rPr>
              <w:t xml:space="preserve">reconociendo expresamente </w:t>
            </w:r>
            <w:r w:rsidRPr="00E20ECA">
              <w:rPr>
                <w:color w:val="2F5496" w:themeColor="accent5" w:themeShade="BF"/>
              </w:rPr>
              <w:t>la posibilidad de que la Sociedad pueda no ser capaz de realizar sus activos y liquidar sus pasivos por los importes y según la clasificación con que figuran en las cuentas anuales adjuntas, las cuales han sido formuladas asumiendo que la actividad continuará</w:t>
            </w:r>
            <w:r w:rsidRPr="009B7F7C">
              <w:t xml:space="preserve">. Estas circunstancias son indicativas de la existencia de una incertidumbre </w:t>
            </w:r>
            <w:r>
              <w:t xml:space="preserve">material </w:t>
            </w:r>
            <w:r w:rsidRPr="009B7F7C">
              <w:t xml:space="preserve">sobre la capacidad de la </w:t>
            </w:r>
            <w:r>
              <w:t xml:space="preserve">Sociedad </w:t>
            </w:r>
            <w:r w:rsidRPr="009B7F7C">
              <w:t>para continuar con sus operaciones</w:t>
            </w:r>
            <w:r>
              <w:t>, que está</w:t>
            </w:r>
            <w:r w:rsidRPr="009B7F7C">
              <w:t xml:space="preserve"> supeditada al cumplimiento de</w:t>
            </w:r>
            <w:r>
              <w:t xml:space="preserve"> un</w:t>
            </w:r>
            <w:r w:rsidRPr="009B7F7C">
              <w:t xml:space="preserve"> plan de negocio</w:t>
            </w:r>
            <w:r>
              <w:t xml:space="preserve"> que,</w:t>
            </w:r>
            <w:r w:rsidRPr="009B7F7C">
              <w:t xml:space="preserve"> a nuestro juicio</w:t>
            </w:r>
            <w:r>
              <w:t>,</w:t>
            </w:r>
            <w:r w:rsidRPr="009B7F7C">
              <w:t xml:space="preserve"> no resulta acorde con la realidad de</w:t>
            </w:r>
            <w:r>
              <w:t>l</w:t>
            </w:r>
            <w:r w:rsidRPr="009B7F7C">
              <w:t xml:space="preserve"> mercado y las </w:t>
            </w:r>
            <w:r>
              <w:t>capacidades</w:t>
            </w:r>
            <w:r w:rsidRPr="009B7F7C">
              <w:t xml:space="preserve"> propias de la Sociedad.</w:t>
            </w:r>
          </w:p>
        </w:tc>
        <w:tc>
          <w:tcPr>
            <w:tcW w:w="2410" w:type="dxa"/>
            <w:tcBorders>
              <w:top w:val="single" w:sz="4" w:space="0" w:color="1F3864" w:themeColor="accent5" w:themeShade="80"/>
            </w:tcBorders>
            <w:shd w:val="clear" w:color="auto" w:fill="DEEAF6" w:themeFill="accent1" w:themeFillTint="33"/>
          </w:tcPr>
          <w:p w:rsidR="004B60D9" w:rsidRDefault="004B60D9" w:rsidP="004B60D9"/>
        </w:tc>
        <w:tc>
          <w:tcPr>
            <w:tcW w:w="2506" w:type="dxa"/>
            <w:tcBorders>
              <w:top w:val="single" w:sz="4" w:space="0" w:color="1F3864" w:themeColor="accent5" w:themeShade="80"/>
            </w:tcBorders>
            <w:shd w:val="clear" w:color="auto" w:fill="DEEAF6" w:themeFill="accent1" w:themeFillTint="33"/>
          </w:tcPr>
          <w:p w:rsidR="004B60D9" w:rsidRDefault="004B60D9" w:rsidP="004B60D9"/>
        </w:tc>
      </w:tr>
    </w:tbl>
    <w:p w:rsidR="004B60D9" w:rsidRDefault="004B60D9"/>
    <w:p w:rsidR="004B60D9" w:rsidRDefault="004B60D9">
      <w:r>
        <w:br w:type="page"/>
      </w:r>
    </w:p>
    <w:p w:rsidR="004B60D9" w:rsidRPr="007B1F37" w:rsidRDefault="004B60D9" w:rsidP="004B60D9">
      <w:pPr>
        <w:rPr>
          <w:b/>
          <w:color w:val="44546A" w:themeColor="text2"/>
          <w:sz w:val="28"/>
          <w:szCs w:val="28"/>
        </w:rPr>
      </w:pPr>
    </w:p>
    <w:tbl>
      <w:tblPr>
        <w:tblStyle w:val="Tablaconcuadrcula"/>
        <w:tblpPr w:leftFromText="141" w:rightFromText="141" w:vertAnchor="text" w:tblpY="1"/>
        <w:tblOverlap w:val="never"/>
        <w:tblW w:w="5000"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655"/>
        <w:gridCol w:w="10885"/>
      </w:tblGrid>
      <w:tr w:rsidR="004B60D9" w:rsidTr="009C2CE9">
        <w:trPr>
          <w:tblHeader/>
        </w:trPr>
        <w:tc>
          <w:tcPr>
            <w:tcW w:w="5000" w:type="pct"/>
            <w:gridSpan w:val="2"/>
            <w:tcBorders>
              <w:top w:val="double" w:sz="4" w:space="0" w:color="1F3864" w:themeColor="accent5" w:themeShade="80"/>
              <w:left w:val="double" w:sz="4" w:space="0" w:color="1F3864" w:themeColor="accent5" w:themeShade="80"/>
              <w:bottom w:val="nil"/>
              <w:right w:val="double" w:sz="4" w:space="0" w:color="1F3864" w:themeColor="accent5" w:themeShade="80"/>
            </w:tcBorders>
            <w:shd w:val="clear" w:color="auto" w:fill="E7E6E6" w:themeFill="background2"/>
          </w:tcPr>
          <w:p w:rsidR="004B60D9" w:rsidRPr="00D859D1" w:rsidRDefault="004B60D9" w:rsidP="009C2CE9">
            <w:pPr>
              <w:rPr>
                <w:b/>
              </w:rPr>
            </w:pPr>
            <w:r>
              <w:rPr>
                <w:b/>
              </w:rPr>
              <w:t>CASOSEGUNDO, S.A.</w:t>
            </w:r>
          </w:p>
        </w:tc>
      </w:tr>
      <w:tr w:rsidR="004B60D9" w:rsidTr="009C2CE9">
        <w:trPr>
          <w:trHeight w:val="405"/>
          <w:tblHeader/>
        </w:trPr>
        <w:tc>
          <w:tcPr>
            <w:tcW w:w="5000" w:type="pct"/>
            <w:gridSpan w:val="2"/>
            <w:tcBorders>
              <w:top w:val="nil"/>
              <w:left w:val="double" w:sz="4" w:space="0" w:color="1F3864" w:themeColor="accent5" w:themeShade="80"/>
              <w:bottom w:val="double" w:sz="4" w:space="0" w:color="1F3864" w:themeColor="accent5" w:themeShade="80"/>
              <w:right w:val="double" w:sz="4" w:space="0" w:color="1F3864" w:themeColor="accent5" w:themeShade="80"/>
            </w:tcBorders>
            <w:shd w:val="clear" w:color="auto" w:fill="E7E6E6" w:themeFill="background2"/>
            <w:vAlign w:val="center"/>
          </w:tcPr>
          <w:p w:rsidR="004B60D9" w:rsidRDefault="004B60D9" w:rsidP="009C2CE9">
            <w:pPr>
              <w:rPr>
                <w:b/>
              </w:rPr>
            </w:pPr>
            <w:r w:rsidRPr="004D6D8A">
              <w:rPr>
                <w:b/>
              </w:rPr>
              <w:t>Calificar las conclusiones de auditoría determinando la ubicación (o no) de cada casuística en el informe de auditoría, y su redacción.</w:t>
            </w:r>
          </w:p>
        </w:tc>
      </w:tr>
      <w:tr w:rsidR="004B60D9" w:rsidTr="009C2CE9">
        <w:trPr>
          <w:trHeight w:val="399"/>
        </w:trPr>
        <w:tc>
          <w:tcPr>
            <w:tcW w:w="1257" w:type="pct"/>
            <w:tcBorders>
              <w:top w:val="double" w:sz="4" w:space="0" w:color="1F3864" w:themeColor="accent5" w:themeShade="80"/>
              <w:left w:val="double" w:sz="4" w:space="0" w:color="1F3864" w:themeColor="accent5" w:themeShade="80"/>
            </w:tcBorders>
            <w:shd w:val="clear" w:color="auto" w:fill="E7E6E6" w:themeFill="background2"/>
            <w:vAlign w:val="center"/>
          </w:tcPr>
          <w:p w:rsidR="004B60D9" w:rsidRDefault="004B60D9" w:rsidP="009C2CE9">
            <w:pPr>
              <w:jc w:val="center"/>
            </w:pPr>
            <w:r>
              <w:t>Cierre del ejercicio auditado</w:t>
            </w:r>
          </w:p>
        </w:tc>
        <w:tc>
          <w:tcPr>
            <w:tcW w:w="3743" w:type="pct"/>
            <w:tcBorders>
              <w:top w:val="double" w:sz="4" w:space="0" w:color="1F3864" w:themeColor="accent5" w:themeShade="80"/>
              <w:right w:val="double" w:sz="4" w:space="0" w:color="1F3864" w:themeColor="accent5" w:themeShade="80"/>
            </w:tcBorders>
            <w:shd w:val="clear" w:color="auto" w:fill="E7E6E6" w:themeFill="background2"/>
            <w:vAlign w:val="center"/>
          </w:tcPr>
          <w:p w:rsidR="004B60D9" w:rsidRDefault="004B60D9" w:rsidP="009C2CE9">
            <w:pPr>
              <w:jc w:val="center"/>
            </w:pPr>
            <w:r>
              <w:t>31 de diciembre de 2018</w:t>
            </w:r>
          </w:p>
        </w:tc>
      </w:tr>
      <w:tr w:rsidR="004B60D9" w:rsidTr="009C2CE9">
        <w:trPr>
          <w:trHeight w:val="411"/>
        </w:trPr>
        <w:tc>
          <w:tcPr>
            <w:tcW w:w="1257" w:type="pct"/>
            <w:tcBorders>
              <w:left w:val="double" w:sz="4" w:space="0" w:color="1F3864" w:themeColor="accent5" w:themeShade="80"/>
            </w:tcBorders>
            <w:shd w:val="clear" w:color="auto" w:fill="E7E6E6" w:themeFill="background2"/>
            <w:vAlign w:val="center"/>
          </w:tcPr>
          <w:p w:rsidR="004B60D9" w:rsidRDefault="004B60D9" w:rsidP="009C2CE9">
            <w:pPr>
              <w:jc w:val="center"/>
            </w:pPr>
            <w:r>
              <w:t>Formato de cuentas anuales</w:t>
            </w:r>
          </w:p>
        </w:tc>
        <w:tc>
          <w:tcPr>
            <w:tcW w:w="3743" w:type="pct"/>
            <w:tcBorders>
              <w:right w:val="double" w:sz="4" w:space="0" w:color="1F3864" w:themeColor="accent5" w:themeShade="80"/>
            </w:tcBorders>
            <w:shd w:val="clear" w:color="auto" w:fill="E7E6E6" w:themeFill="background2"/>
            <w:vAlign w:val="center"/>
          </w:tcPr>
          <w:p w:rsidR="004B60D9" w:rsidRDefault="004B60D9" w:rsidP="009C2CE9">
            <w:pPr>
              <w:jc w:val="center"/>
            </w:pPr>
            <w:r>
              <w:t>Normal</w:t>
            </w:r>
          </w:p>
        </w:tc>
      </w:tr>
      <w:tr w:rsidR="004B60D9" w:rsidTr="009C2CE9">
        <w:trPr>
          <w:trHeight w:val="713"/>
        </w:trPr>
        <w:tc>
          <w:tcPr>
            <w:tcW w:w="1257" w:type="pct"/>
            <w:tcBorders>
              <w:left w:val="double" w:sz="4" w:space="0" w:color="1F3864" w:themeColor="accent5" w:themeShade="80"/>
              <w:bottom w:val="double" w:sz="4" w:space="0" w:color="1F3864" w:themeColor="accent5" w:themeShade="80"/>
            </w:tcBorders>
            <w:shd w:val="clear" w:color="auto" w:fill="E7E6E6" w:themeFill="background2"/>
            <w:vAlign w:val="center"/>
          </w:tcPr>
          <w:p w:rsidR="004B60D9" w:rsidRDefault="004B60D9" w:rsidP="009C2CE9">
            <w:pPr>
              <w:jc w:val="center"/>
            </w:pPr>
            <w:r>
              <w:t>Cuentas anuales del ejercicio anterior auditadas por otra firma</w:t>
            </w:r>
          </w:p>
        </w:tc>
        <w:tc>
          <w:tcPr>
            <w:tcW w:w="3743" w:type="pct"/>
            <w:tcBorders>
              <w:bottom w:val="double" w:sz="4" w:space="0" w:color="1F3864" w:themeColor="accent5" w:themeShade="80"/>
              <w:right w:val="double" w:sz="4" w:space="0" w:color="1F3864" w:themeColor="accent5" w:themeShade="80"/>
            </w:tcBorders>
            <w:shd w:val="clear" w:color="auto" w:fill="E7E6E6" w:themeFill="background2"/>
            <w:vAlign w:val="center"/>
          </w:tcPr>
          <w:p w:rsidR="004B60D9" w:rsidRPr="008720D1" w:rsidRDefault="004B60D9" w:rsidP="009C2CE9">
            <w:pPr>
              <w:jc w:val="center"/>
            </w:pPr>
            <w:r w:rsidRPr="008720D1">
              <w:t xml:space="preserve">opinión </w:t>
            </w:r>
            <w:r w:rsidR="008720D1" w:rsidRPr="008720D1">
              <w:t>no modificada</w:t>
            </w:r>
          </w:p>
          <w:p w:rsidR="004B60D9" w:rsidRPr="008720D1" w:rsidRDefault="004B60D9" w:rsidP="009C2CE9">
            <w:pPr>
              <w:jc w:val="center"/>
              <w:rPr>
                <w:sz w:val="8"/>
                <w:szCs w:val="8"/>
              </w:rPr>
            </w:pPr>
          </w:p>
          <w:p w:rsidR="004B60D9" w:rsidRPr="008720D1" w:rsidRDefault="004B60D9" w:rsidP="008720D1">
            <w:pPr>
              <w:jc w:val="center"/>
            </w:pPr>
            <w:r w:rsidRPr="008720D1">
              <w:t xml:space="preserve">Fecha del informe: </w:t>
            </w:r>
            <w:r w:rsidR="008720D1" w:rsidRPr="008720D1">
              <w:t>25 de abril de 2018</w:t>
            </w:r>
          </w:p>
        </w:tc>
      </w:tr>
    </w:tbl>
    <w:p w:rsidR="004B60D9" w:rsidRDefault="004B60D9" w:rsidP="004B60D9">
      <w:pPr>
        <w:spacing w:after="0"/>
      </w:pPr>
    </w:p>
    <w:tbl>
      <w:tblPr>
        <w:tblStyle w:val="Tablaconcuadrcula"/>
        <w:tblW w:w="0" w:type="auto"/>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tblBorders>
        <w:tblLook w:val="04A0" w:firstRow="1" w:lastRow="0" w:firstColumn="1" w:lastColumn="0" w:noHBand="0" w:noVBand="1"/>
      </w:tblPr>
      <w:tblGrid>
        <w:gridCol w:w="9624"/>
        <w:gridCol w:w="2410"/>
        <w:gridCol w:w="2506"/>
      </w:tblGrid>
      <w:tr w:rsidR="004B60D9" w:rsidRPr="004B60D9" w:rsidTr="009C2CE9">
        <w:trPr>
          <w:trHeight w:val="375"/>
          <w:tblHeader/>
        </w:trPr>
        <w:tc>
          <w:tcPr>
            <w:tcW w:w="9624" w:type="dxa"/>
            <w:tcBorders>
              <w:top w:val="double" w:sz="4" w:space="0" w:color="1F3864" w:themeColor="accent5" w:themeShade="80"/>
              <w:bottom w:val="double" w:sz="4" w:space="0" w:color="1F3864" w:themeColor="accent5" w:themeShade="80"/>
              <w:right w:val="single" w:sz="4" w:space="0" w:color="1F3864" w:themeColor="accent5" w:themeShade="80"/>
            </w:tcBorders>
            <w:shd w:val="clear" w:color="auto" w:fill="F2F2F2" w:themeFill="background1" w:themeFillShade="F2"/>
            <w:vAlign w:val="center"/>
          </w:tcPr>
          <w:p w:rsidR="004B60D9" w:rsidRPr="004B60D9" w:rsidRDefault="004B60D9" w:rsidP="009C2CE9">
            <w:pPr>
              <w:jc w:val="center"/>
              <w:rPr>
                <w:b/>
              </w:rPr>
            </w:pPr>
            <w:r>
              <w:rPr>
                <w:b/>
              </w:rPr>
              <w:t>Conclusiones del trabajo realizado (CASOSEGUNDO)</w:t>
            </w:r>
          </w:p>
        </w:tc>
        <w:tc>
          <w:tcPr>
            <w:tcW w:w="2410" w:type="dxa"/>
            <w:tcBorders>
              <w:top w:val="double" w:sz="4" w:space="0" w:color="1F3864" w:themeColor="accent5" w:themeShade="80"/>
              <w:left w:val="single" w:sz="4" w:space="0" w:color="1F3864" w:themeColor="accent5" w:themeShade="80"/>
              <w:bottom w:val="double" w:sz="4" w:space="0" w:color="1F3864" w:themeColor="accent5" w:themeShade="80"/>
              <w:right w:val="single" w:sz="4" w:space="0" w:color="1F3864" w:themeColor="accent5" w:themeShade="80"/>
            </w:tcBorders>
            <w:shd w:val="clear" w:color="auto" w:fill="F2F2F2" w:themeFill="background1" w:themeFillShade="F2"/>
            <w:vAlign w:val="center"/>
          </w:tcPr>
          <w:p w:rsidR="004B60D9" w:rsidRPr="004B60D9" w:rsidRDefault="004B60D9" w:rsidP="009C2CE9">
            <w:pPr>
              <w:jc w:val="center"/>
              <w:rPr>
                <w:b/>
              </w:rPr>
            </w:pPr>
            <w:r>
              <w:rPr>
                <w:b/>
              </w:rPr>
              <w:t>Calificación y significatividad</w:t>
            </w:r>
          </w:p>
        </w:tc>
        <w:tc>
          <w:tcPr>
            <w:tcW w:w="2506" w:type="dxa"/>
            <w:tcBorders>
              <w:top w:val="double" w:sz="4" w:space="0" w:color="1F3864" w:themeColor="accent5" w:themeShade="80"/>
              <w:left w:val="single" w:sz="4" w:space="0" w:color="1F3864" w:themeColor="accent5" w:themeShade="80"/>
              <w:bottom w:val="double" w:sz="4" w:space="0" w:color="1F3864" w:themeColor="accent5" w:themeShade="80"/>
            </w:tcBorders>
            <w:shd w:val="clear" w:color="auto" w:fill="F2F2F2" w:themeFill="background1" w:themeFillShade="F2"/>
            <w:vAlign w:val="center"/>
          </w:tcPr>
          <w:p w:rsidR="004B60D9" w:rsidRPr="004B60D9" w:rsidRDefault="004B60D9" w:rsidP="009C2CE9">
            <w:pPr>
              <w:jc w:val="center"/>
              <w:rPr>
                <w:b/>
              </w:rPr>
            </w:pPr>
            <w:r>
              <w:rPr>
                <w:b/>
              </w:rPr>
              <w:t>Ubicación en informe</w:t>
            </w:r>
          </w:p>
        </w:tc>
      </w:tr>
      <w:tr w:rsidR="004B60D9" w:rsidTr="009C2CE9">
        <w:tc>
          <w:tcPr>
            <w:tcW w:w="9624" w:type="dxa"/>
            <w:tcBorders>
              <w:top w:val="double" w:sz="4" w:space="0" w:color="1F3864" w:themeColor="accent5" w:themeShade="80"/>
              <w:bottom w:val="single" w:sz="4" w:space="0" w:color="1F3864" w:themeColor="accent5" w:themeShade="80"/>
              <w:right w:val="single" w:sz="4" w:space="0" w:color="1F3864" w:themeColor="accent5" w:themeShade="80"/>
            </w:tcBorders>
          </w:tcPr>
          <w:p w:rsidR="004B60D9" w:rsidRDefault="004B60D9" w:rsidP="004B60D9">
            <w:r>
              <w:t>Durante el ejercicio 2018</w:t>
            </w:r>
            <w:r w:rsidRPr="004B60D9">
              <w:t>, los empleados de la sociedad han interpuesto una demanda  contra la misma, reclamando retroactivamente a 1 de enero de 20</w:t>
            </w:r>
            <w:r>
              <w:t>18</w:t>
            </w:r>
            <w:r w:rsidRPr="004B60D9">
              <w:t xml:space="preserve"> el incremento de sueldo  acordado en el convenio firmado el 30 de junio de 20</w:t>
            </w:r>
            <w:r>
              <w:t>18</w:t>
            </w:r>
            <w:r w:rsidRPr="004B60D9">
              <w:t>. La sociedad, de acuerdo con sus asesores legales, interpreta que de la lectura del acuerdo firmado, el incremento es aplicable a partir de la fecha de la firma. El importe reclamado por los empleados asciende a</w:t>
            </w:r>
            <w:r>
              <w:t xml:space="preserve"> 190.000 euros (cifra material)</w:t>
            </w:r>
            <w:r w:rsidRPr="004B60D9">
              <w:t xml:space="preserve"> que no  ha sido provisionado en el balance de situación, ya que la sociedad considera que existen suficientes argumentos para pensar que la resolución final será favorable. Esta situación se desglosa adecuadamente en la nota 14 de la memoria. </w:t>
            </w:r>
            <w:r>
              <w:t xml:space="preserve">Tras </w:t>
            </w:r>
            <w:r w:rsidRPr="004B60D9">
              <w:t xml:space="preserve">valorar la documentación de la sociedad y consultar con otros expertos en la materia, </w:t>
            </w:r>
            <w:r>
              <w:t>concluimos</w:t>
            </w:r>
            <w:r w:rsidRPr="004B60D9">
              <w:t xml:space="preserve"> que no es posible determinar de forma objetiva el desenlace de dicha situación y que </w:t>
            </w:r>
            <w:r>
              <w:t xml:space="preserve">la incertidumbre </w:t>
            </w:r>
            <w:r w:rsidRPr="004B60D9">
              <w:t>está adecuadamente revelada en la memoria.</w:t>
            </w:r>
          </w:p>
        </w:tc>
        <w:tc>
          <w:tcPr>
            <w:tcW w:w="2410" w:type="dxa"/>
            <w:tcBorders>
              <w:top w:val="doub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rsidR="004B60D9" w:rsidRDefault="004B60D9" w:rsidP="009C2CE9"/>
        </w:tc>
        <w:tc>
          <w:tcPr>
            <w:tcW w:w="2506" w:type="dxa"/>
            <w:tcBorders>
              <w:top w:val="double" w:sz="4" w:space="0" w:color="1F3864" w:themeColor="accent5" w:themeShade="80"/>
              <w:left w:val="single" w:sz="4" w:space="0" w:color="1F3864" w:themeColor="accent5" w:themeShade="80"/>
              <w:bottom w:val="single" w:sz="4" w:space="0" w:color="1F3864" w:themeColor="accent5" w:themeShade="80"/>
            </w:tcBorders>
            <w:shd w:val="clear" w:color="auto" w:fill="DEEAF6" w:themeFill="accent1" w:themeFillTint="33"/>
          </w:tcPr>
          <w:p w:rsidR="004B60D9" w:rsidRDefault="004B60D9" w:rsidP="009C2CE9"/>
        </w:tc>
      </w:tr>
      <w:tr w:rsidR="004B60D9" w:rsidTr="009C2CE9">
        <w:tc>
          <w:tcPr>
            <w:tcW w:w="9624" w:type="dxa"/>
            <w:tcBorders>
              <w:top w:val="single" w:sz="4" w:space="0" w:color="1F3864" w:themeColor="accent5" w:themeShade="80"/>
              <w:bottom w:val="single" w:sz="4" w:space="0" w:color="1F3864" w:themeColor="accent5" w:themeShade="80"/>
              <w:right w:val="single" w:sz="4" w:space="0" w:color="1F3864" w:themeColor="accent5" w:themeShade="80"/>
            </w:tcBorders>
          </w:tcPr>
          <w:p w:rsidR="004B60D9" w:rsidRDefault="008720D1" w:rsidP="008720D1">
            <w:r>
              <w:t>Durante el ejercicio 2018</w:t>
            </w:r>
            <w:r w:rsidR="004B60D9" w:rsidRPr="004B60D9">
              <w:t xml:space="preserve"> se ha detectado un error en la valoración de las existen</w:t>
            </w:r>
            <w:r>
              <w:t>cias a 31 de diciembre de 2017</w:t>
            </w:r>
            <w:r w:rsidR="004B60D9" w:rsidRPr="004B60D9">
              <w:t xml:space="preserve">, motivado por un error de cálculo que supuso una valoración en exceso de 258.000 euros. Este error ha sido corregido </w:t>
            </w:r>
            <w:r>
              <w:t>como consumos del ejercicio 2018</w:t>
            </w:r>
            <w:r w:rsidR="004B60D9" w:rsidRPr="004B60D9">
              <w:t>.</w:t>
            </w:r>
          </w:p>
        </w:tc>
        <w:tc>
          <w:tcPr>
            <w:tcW w:w="241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rsidR="004B60D9" w:rsidRDefault="004B60D9" w:rsidP="009C2CE9"/>
        </w:tc>
        <w:tc>
          <w:tcPr>
            <w:tcW w:w="2506" w:type="dxa"/>
            <w:tcBorders>
              <w:top w:val="single" w:sz="4" w:space="0" w:color="1F3864" w:themeColor="accent5" w:themeShade="80"/>
              <w:left w:val="single" w:sz="4" w:space="0" w:color="1F3864" w:themeColor="accent5" w:themeShade="80"/>
              <w:bottom w:val="single" w:sz="4" w:space="0" w:color="1F3864" w:themeColor="accent5" w:themeShade="80"/>
            </w:tcBorders>
            <w:shd w:val="clear" w:color="auto" w:fill="DEEAF6" w:themeFill="accent1" w:themeFillTint="33"/>
          </w:tcPr>
          <w:p w:rsidR="004B60D9" w:rsidRDefault="004B60D9" w:rsidP="009C2CE9"/>
        </w:tc>
      </w:tr>
      <w:tr w:rsidR="004B60D9" w:rsidTr="009C2CE9">
        <w:tc>
          <w:tcPr>
            <w:tcW w:w="9624" w:type="dxa"/>
            <w:tcBorders>
              <w:top w:val="single" w:sz="4" w:space="0" w:color="1F3864" w:themeColor="accent5" w:themeShade="80"/>
            </w:tcBorders>
          </w:tcPr>
          <w:p w:rsidR="004B60D9" w:rsidRPr="008219D8" w:rsidRDefault="008720D1" w:rsidP="009C2CE9">
            <w:r>
              <w:t>La memoria  del ejercicio 2018</w:t>
            </w:r>
            <w:r w:rsidRPr="008720D1">
              <w:t xml:space="preserve"> no  incluye la información  requerida con relación a los pagos futuros en los próximos años ni su valor actual, correspondiente a los 25 contratos de arrendamiento financiero que la sociedad tiene vigentes. Todos estos 25 contratos</w:t>
            </w:r>
            <w:r>
              <w:t xml:space="preserve"> han sido contratados en el 2018</w:t>
            </w:r>
            <w:r w:rsidRPr="008720D1">
              <w:t>.</w:t>
            </w:r>
          </w:p>
        </w:tc>
        <w:tc>
          <w:tcPr>
            <w:tcW w:w="2410" w:type="dxa"/>
            <w:tcBorders>
              <w:top w:val="single" w:sz="4" w:space="0" w:color="1F3864" w:themeColor="accent5" w:themeShade="80"/>
            </w:tcBorders>
            <w:shd w:val="clear" w:color="auto" w:fill="DEEAF6" w:themeFill="accent1" w:themeFillTint="33"/>
          </w:tcPr>
          <w:p w:rsidR="004B60D9" w:rsidRDefault="004B60D9" w:rsidP="009C2CE9"/>
        </w:tc>
        <w:tc>
          <w:tcPr>
            <w:tcW w:w="2506" w:type="dxa"/>
            <w:tcBorders>
              <w:top w:val="single" w:sz="4" w:space="0" w:color="1F3864" w:themeColor="accent5" w:themeShade="80"/>
            </w:tcBorders>
            <w:shd w:val="clear" w:color="auto" w:fill="DEEAF6" w:themeFill="accent1" w:themeFillTint="33"/>
          </w:tcPr>
          <w:p w:rsidR="004B60D9" w:rsidRDefault="004B60D9" w:rsidP="009C2CE9"/>
        </w:tc>
      </w:tr>
    </w:tbl>
    <w:p w:rsidR="008D11C6" w:rsidRDefault="008D11C6">
      <w:r>
        <w:br w:type="page"/>
      </w:r>
    </w:p>
    <w:p w:rsidR="008D11C6" w:rsidRDefault="008D11C6" w:rsidP="007B1F37"/>
    <w:p w:rsidR="00063367" w:rsidRDefault="00063367" w:rsidP="00BD6B2E">
      <w:pPr>
        <w:jc w:val="both"/>
        <w:rPr>
          <w:b/>
        </w:rPr>
      </w:pPr>
      <w:r>
        <w:rPr>
          <w:b/>
        </w:rPr>
        <w:t>(Solución propuesta por Memento de auditoría, adaptada a la nueva estructura del informe)</w:t>
      </w:r>
    </w:p>
    <w:p w:rsidR="00BD6B2E" w:rsidRPr="007B0531" w:rsidRDefault="00BD6B2E" w:rsidP="00BD6B2E">
      <w:pPr>
        <w:jc w:val="both"/>
      </w:pPr>
      <w:r>
        <w:rPr>
          <w:b/>
        </w:rPr>
        <w:t>INFORME DE AUDITORÍA DE CUENTAS ANUALES EMITIDO POR UN AUDITOR INDEPENDIENTE</w:t>
      </w:r>
    </w:p>
    <w:p w:rsidR="00BD6B2E" w:rsidRPr="007B0531" w:rsidRDefault="00BD6B2E" w:rsidP="00BD6B2E">
      <w:pPr>
        <w:jc w:val="both"/>
      </w:pPr>
      <w:r>
        <w:t>A los accionistas de CASOSEGUNDO, S.A.</w:t>
      </w:r>
    </w:p>
    <w:p w:rsidR="00BD6B2E" w:rsidRDefault="00BD6B2E" w:rsidP="00BD6B2E">
      <w:pPr>
        <w:jc w:val="both"/>
        <w:rPr>
          <w:b/>
        </w:rPr>
      </w:pPr>
    </w:p>
    <w:p w:rsidR="00BD6B2E" w:rsidRDefault="00BD6B2E" w:rsidP="00BD6B2E">
      <w:pPr>
        <w:jc w:val="both"/>
      </w:pPr>
      <w:r>
        <w:rPr>
          <w:b/>
        </w:rPr>
        <w:t>Opinión con salvedades</w:t>
      </w:r>
    </w:p>
    <w:p w:rsidR="00BD6B2E" w:rsidRDefault="00BD6B2E" w:rsidP="00BD6B2E">
      <w:pPr>
        <w:jc w:val="both"/>
      </w:pPr>
      <w:r>
        <w:t xml:space="preserve">Hemos auditado las cuentas anuales de CASOSEGUNDO, S.A. (la Sociedad), que comprenden el balance a 31 de diciembre de 2018, la cuenta de pérdidas y ganancias, el estado de cambios en el patrimonio neto, el estado de flujos de efectivo y la memoria, correspondientes al ejercicio terminado en dicha fecha. </w:t>
      </w:r>
    </w:p>
    <w:p w:rsidR="00BD6B2E" w:rsidRDefault="00BD6B2E" w:rsidP="00BD6B2E">
      <w:pPr>
        <w:jc w:val="both"/>
      </w:pPr>
      <w:r>
        <w:t xml:space="preserve">En nuestra opinión, </w:t>
      </w:r>
      <w:r>
        <w:rPr>
          <w:b/>
        </w:rPr>
        <w:t xml:space="preserve">excepto por los efectos de </w:t>
      </w:r>
      <w:r w:rsidRPr="00A74641">
        <w:rPr>
          <w:b/>
        </w:rPr>
        <w:t>la</w:t>
      </w:r>
      <w:r>
        <w:rPr>
          <w:b/>
        </w:rPr>
        <w:t>s cuestio</w:t>
      </w:r>
      <w:r w:rsidRPr="00A74641">
        <w:rPr>
          <w:b/>
        </w:rPr>
        <w:t>nes descritas en la sección</w:t>
      </w:r>
      <w:r>
        <w:rPr>
          <w:b/>
        </w:rPr>
        <w:t xml:space="preserve"> </w:t>
      </w:r>
      <w:r>
        <w:rPr>
          <w:b/>
          <w:i/>
        </w:rPr>
        <w:t>Fundamento de la opinión con salvedades</w:t>
      </w:r>
      <w:r>
        <w:t xml:space="preserve"> de nuestro informe, las cuentas anuales adjuntas expresan, en todos los aspectos significativos, la imagen fiel del patrimonio y de la situación financiera de la Sociedad a 31 de diciembre de 2018, así como de sus resultados y flujos de efectivo correspondientes al ejercicio terminado en dicha fecha, de conformidad con el marco normativo que resulta de aplicación (que se identifica en la nota 2 de la memoria) y, en particular, con los principios y criterios contables contenidos en el mismo. </w:t>
      </w:r>
    </w:p>
    <w:p w:rsidR="00BD6B2E" w:rsidRDefault="00BD6B2E" w:rsidP="00BD6B2E">
      <w:pPr>
        <w:jc w:val="both"/>
        <w:rPr>
          <w:b/>
        </w:rPr>
      </w:pPr>
    </w:p>
    <w:p w:rsidR="00BD6B2E" w:rsidRDefault="00BD6B2E" w:rsidP="00BD6B2E">
      <w:pPr>
        <w:jc w:val="both"/>
      </w:pPr>
      <w:r>
        <w:rPr>
          <w:b/>
        </w:rPr>
        <w:t>Fundamento de la opinión con salvedades</w:t>
      </w:r>
    </w:p>
    <w:p w:rsidR="00063367" w:rsidRPr="004C4F42" w:rsidRDefault="00063367" w:rsidP="00BD6B2E">
      <w:pPr>
        <w:jc w:val="both"/>
        <w:rPr>
          <w:color w:val="5B9BD5" w:themeColor="accent1"/>
        </w:rPr>
      </w:pPr>
      <w:r w:rsidRPr="004C4F42">
        <w:rPr>
          <w:color w:val="5B9BD5" w:themeColor="accent1"/>
        </w:rPr>
        <w:t>La Sociedad durante el ejercicio 2018 ha detectado y corregido un error de 258.000 euros de exceso en la valoración de existencias que se produjo en el ejercicio 2017, habiéndolo corregido con cargo a la cuenta de pérdidas y ganancias del ejercicio anual terminado el 31 de diciembre de 2018 y no de manera retroactiva según establece el marco normativo de información que resulta aplicable. Por tanto, al 31 de diciembre de 2017 el saldo de la cuenta de existencias debería haberse reducido en 258.000 euros, el deterioro de existencias correspondiente al ejercicio anual terminado el 31 de diciembre de 2017 incrementarse en 258.000 euros y el impuesto de sociedades y el beneficio neto correspondientes al ejercicio anual terminado el 31 de diciembre de 2017 deberían haberse disminuido en 64.500 euros y en 193.500 euros, respectivamente y el patrimonio neto al 31 de diciembre de 2017 debería disminuirse en 193.500 euros. El deterioro de existencias correspondientes al ejercicio anual terminado el 31 de diciembre de 2018 deberían reducirse en 258.000 euros y el impuesto de sociedades y el beneficio neto correspondientes al ejercicio anual terminado el 31 de diciembre de 2018 deberían incrementarse en 64.500 euros y en 193.500 euros, respectivamente.</w:t>
      </w:r>
    </w:p>
    <w:p w:rsidR="00063367" w:rsidRDefault="00063367" w:rsidP="00BD6B2E">
      <w:pPr>
        <w:jc w:val="both"/>
      </w:pPr>
    </w:p>
    <w:p w:rsidR="00BD6B2E" w:rsidRPr="00BD6B2E" w:rsidRDefault="00063367" w:rsidP="00BD6B2E">
      <w:pPr>
        <w:jc w:val="both"/>
      </w:pPr>
      <w:r>
        <w:lastRenderedPageBreak/>
        <w:t>La memoria del ejercicio 2018</w:t>
      </w:r>
      <w:r w:rsidR="00BD6B2E">
        <w:t xml:space="preserve"> adjunta no incluye la información requerida con relación a los pagos futuros en los próximos años ni su valor actual, correspondiente a los 25 contratos de arrendamiento financiero que la Sociedad tiene vigentes, tal y como requiere el marco normativo de información financiera que resulta de aplicación; dada la extensión de dicha información no se ha considerado factible la inclusión en este informe de la información omitida.</w:t>
      </w:r>
    </w:p>
    <w:p w:rsidR="00BD6B2E" w:rsidRDefault="00BD6B2E" w:rsidP="00BD6B2E">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Pr>
          <w:i/>
        </w:rPr>
        <w:t>Responsabilidades del auditor en relación con la auditoría de las cuentas anuales</w:t>
      </w:r>
      <w:r>
        <w:t xml:space="preserve"> de nuestro informe. </w:t>
      </w:r>
    </w:p>
    <w:p w:rsidR="00BD6B2E" w:rsidRDefault="00BD6B2E" w:rsidP="00BD6B2E">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BD6B2E" w:rsidRDefault="00BD6B2E" w:rsidP="00BD6B2E">
      <w:pPr>
        <w:jc w:val="both"/>
      </w:pPr>
      <w:r>
        <w:t>Consideramos que la evidencia de auditoría que hemos obtenido proporciona una base suficiente y adecuada para nuestra opinión con salvedades.</w:t>
      </w:r>
    </w:p>
    <w:p w:rsidR="00BD6B2E" w:rsidRDefault="00BD6B2E" w:rsidP="00BD6B2E">
      <w:pPr>
        <w:jc w:val="both"/>
        <w:rPr>
          <w:b/>
        </w:rPr>
      </w:pPr>
    </w:p>
    <w:p w:rsidR="00BD6B2E" w:rsidRPr="006C7977" w:rsidRDefault="00BD6B2E" w:rsidP="00BD6B2E">
      <w:pPr>
        <w:jc w:val="both"/>
      </w:pPr>
      <w:r>
        <w:rPr>
          <w:b/>
        </w:rPr>
        <w:t>Aspectos más relevantes de la auditoría</w:t>
      </w:r>
    </w:p>
    <w:p w:rsidR="00BD6B2E" w:rsidRDefault="00BD6B2E" w:rsidP="00BD6B2E">
      <w:pPr>
        <w:jc w:val="both"/>
      </w:pPr>
      <w:r>
        <w:t>Los aspectos más relevantes de la auditoría son aquéllos que, según nuestro juicio profesional, han sido considerados como los riesgos de incorrección material más significativos en nuestra auditoría de las cuentas anuales del periodo actual. Estos riesgos han sido tratados en el contexto de nuestra auditoría de las cuentas anuales en su conjunto, y en la formación de nuestra opinión sobre éstos, y no expresamos una opinión por separado sobre esos riesgos.</w:t>
      </w:r>
    </w:p>
    <w:p w:rsidR="00BD6B2E" w:rsidRPr="007379C2" w:rsidRDefault="00063367" w:rsidP="00BD6B2E">
      <w:pPr>
        <w:jc w:val="both"/>
      </w:pPr>
      <w:r>
        <w:t>Excepto por las cuestiones descrita</w:t>
      </w:r>
      <w:r w:rsidR="00BD6B2E">
        <w:t xml:space="preserve">s en la sección </w:t>
      </w:r>
      <w:r w:rsidR="00BD6B2E">
        <w:rPr>
          <w:i/>
        </w:rPr>
        <w:t>Fundamento de la opinión con salvedades</w:t>
      </w:r>
      <w:r w:rsidR="00BD6B2E">
        <w:t>, hemos determinado que no existen otros riesgos más significativos considerados en la auditoría que se deban comunicar en nuestro informe.</w:t>
      </w:r>
    </w:p>
    <w:p w:rsidR="00BD6B2E" w:rsidRDefault="00BD6B2E" w:rsidP="00BD6B2E">
      <w:pPr>
        <w:jc w:val="both"/>
        <w:rPr>
          <w:b/>
        </w:rPr>
      </w:pPr>
    </w:p>
    <w:p w:rsidR="00BD6B2E" w:rsidRDefault="00BD6B2E" w:rsidP="00BD6B2E">
      <w:pPr>
        <w:jc w:val="both"/>
        <w:rPr>
          <w:b/>
        </w:rPr>
      </w:pPr>
      <w:r>
        <w:rPr>
          <w:b/>
        </w:rPr>
        <w:t>Otras cuestiones</w:t>
      </w:r>
    </w:p>
    <w:p w:rsidR="00BD6B2E" w:rsidRDefault="00063367" w:rsidP="00063367">
      <w:pPr>
        <w:jc w:val="both"/>
      </w:pPr>
      <w:r>
        <w:t>Con fecha 25 de abril de 2018</w:t>
      </w:r>
      <w:r w:rsidRPr="00063367">
        <w:t xml:space="preserve"> otros auditores emitieron su informe de auditoría acerca de las cuen</w:t>
      </w:r>
      <w:r>
        <w:t>tas anuales del ejercicio 2017</w:t>
      </w:r>
      <w:r w:rsidRPr="00063367">
        <w:t xml:space="preserve"> en el que expresaron una opinión no modificada.</w:t>
      </w:r>
      <w:r w:rsidR="00BD6B2E">
        <w:t xml:space="preserve"> </w:t>
      </w:r>
    </w:p>
    <w:p w:rsidR="00BD6B2E" w:rsidRPr="003D1CF8" w:rsidRDefault="00BD6B2E" w:rsidP="00BD6B2E">
      <w:pPr>
        <w:jc w:val="both"/>
      </w:pPr>
    </w:p>
    <w:p w:rsidR="00BD6B2E" w:rsidRPr="00787835" w:rsidRDefault="00BD6B2E" w:rsidP="00BD6B2E">
      <w:pPr>
        <w:jc w:val="both"/>
        <w:rPr>
          <w:b/>
        </w:rPr>
      </w:pPr>
      <w:r>
        <w:rPr>
          <w:b/>
        </w:rPr>
        <w:lastRenderedPageBreak/>
        <w:t>Otra información: Informe de gestión</w:t>
      </w:r>
    </w:p>
    <w:p w:rsidR="00BD6B2E" w:rsidRDefault="00BD6B2E" w:rsidP="00BD6B2E">
      <w:pPr>
        <w:jc w:val="both"/>
      </w:pPr>
      <w:r>
        <w:t xml:space="preserve">La otra información comprende exclusivamente el informe de gestión del ejercicio </w:t>
      </w:r>
      <w:r w:rsidR="00063367">
        <w:t>2018</w:t>
      </w:r>
      <w:r>
        <w:t xml:space="preserve">, cuya formulación es responsabilidad de los administradores de la Sociedad y no forma parte integrante de las cuentas anuales. </w:t>
      </w:r>
    </w:p>
    <w:p w:rsidR="00BD6B2E" w:rsidRDefault="00BD6B2E" w:rsidP="00BD6B2E">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BD6B2E" w:rsidRDefault="00BD6B2E" w:rsidP="00BD6B2E">
      <w:pPr>
        <w:jc w:val="both"/>
      </w:pPr>
      <w:r>
        <w:t xml:space="preserve">Sobre la base del trabajo realizado, según lo descrito en el párrafo anterior, salvo por </w:t>
      </w:r>
      <w:r w:rsidRPr="00063367">
        <w:t>la</w:t>
      </w:r>
      <w:r w:rsidR="00063367" w:rsidRPr="00063367">
        <w:t>s</w:t>
      </w:r>
      <w:r w:rsidRPr="00063367">
        <w:t xml:space="preserve"> incorrección materiales indicadas en el </w:t>
      </w:r>
      <w:r>
        <w:t xml:space="preserve">párrafo siguiente, la información que contiene el informe de gestión concuerda con la de las cuentas anuales del ejercicio </w:t>
      </w:r>
      <w:r w:rsidR="00063367">
        <w:t>2018</w:t>
      </w:r>
      <w:r>
        <w:t xml:space="preserve"> y su contenido y presentación son conformes a la normativa que resulta de aplicación. </w:t>
      </w:r>
    </w:p>
    <w:p w:rsidR="00BD6B2E" w:rsidRPr="00063367" w:rsidRDefault="00BD6B2E" w:rsidP="00BD6B2E">
      <w:pPr>
        <w:jc w:val="both"/>
      </w:pPr>
      <w:r w:rsidRPr="00BF5DF8">
        <w:t>Co</w:t>
      </w:r>
      <w:r>
        <w:t xml:space="preserve">mo se describe en la sección </w:t>
      </w:r>
      <w:r>
        <w:rPr>
          <w:i/>
        </w:rPr>
        <w:t>Fundamento de la opinión con salvedades</w:t>
      </w:r>
      <w:r>
        <w:t xml:space="preserve">, </w:t>
      </w:r>
      <w:r w:rsidR="00063367">
        <w:t>l</w:t>
      </w:r>
      <w:r w:rsidR="00063367" w:rsidRPr="00063367">
        <w:t>a S</w:t>
      </w:r>
      <w:r w:rsidR="00063367">
        <w:t xml:space="preserve">ociedad </w:t>
      </w:r>
      <w:r w:rsidR="00063367" w:rsidRPr="00063367">
        <w:t xml:space="preserve">ha detectado y corregido </w:t>
      </w:r>
      <w:r w:rsidR="00063367">
        <w:t>durante el ejercicio 2018</w:t>
      </w:r>
      <w:r w:rsidR="00063367" w:rsidRPr="00063367">
        <w:t xml:space="preserve"> un error de 258.000 euros de exceso en la valoración de existencias que s</w:t>
      </w:r>
      <w:r w:rsidR="00063367">
        <w:t>e produjo en el ejercicio 2017</w:t>
      </w:r>
      <w:r w:rsidR="00063367" w:rsidRPr="00063367">
        <w:t>, habiéndolo corregido con cargo a la cuenta de pérdidas y ganancias del ejercicio anual terminado el 31 de diciembre de 20</w:t>
      </w:r>
      <w:r w:rsidR="00063367">
        <w:t>18</w:t>
      </w:r>
      <w:r w:rsidR="00063367" w:rsidRPr="00063367">
        <w:t xml:space="preserve"> y no de manera retroactiva según establece el marco normativo de información que resulta aplicable</w:t>
      </w:r>
      <w:r w:rsidR="00063367">
        <w:t xml:space="preserve">. </w:t>
      </w:r>
      <w:r w:rsidR="00063367" w:rsidRPr="00063367">
        <w:t>Por tan</w:t>
      </w:r>
      <w:r w:rsidR="00063367">
        <w:t>to, las</w:t>
      </w:r>
      <w:r w:rsidR="00063367" w:rsidRPr="00063367">
        <w:t xml:space="preserve"> existencias correspondientes al ejercicio anual terminado el 31 de diciembre de 20</w:t>
      </w:r>
      <w:r w:rsidR="00063367">
        <w:t>18</w:t>
      </w:r>
      <w:r w:rsidR="00063367" w:rsidRPr="00063367">
        <w:t xml:space="preserve"> deberían </w:t>
      </w:r>
      <w:r w:rsidR="00063367">
        <w:t>incrementarse</w:t>
      </w:r>
      <w:r w:rsidR="00063367" w:rsidRPr="00063367">
        <w:t xml:space="preserve"> en 258.000 euros y el impuesto de sociedades y el beneficio neto correspondientes al ejercicio anual ter</w:t>
      </w:r>
      <w:r w:rsidR="00063367">
        <w:t>minado en dicha fecha</w:t>
      </w:r>
      <w:r w:rsidR="00063367" w:rsidRPr="00063367">
        <w:t xml:space="preserve"> deberían incrementarse en 64.500 euros y en 193.500 euros, respectivamente.</w:t>
      </w:r>
      <w:r w:rsidR="00063367">
        <w:t xml:space="preserve"> En la información comparativa del ejercicio anterior, </w:t>
      </w:r>
      <w:r w:rsidR="00063367" w:rsidRPr="00063367">
        <w:t>el saldo de la cuenta de existencias debería haberse reducido en 258.000 euros</w:t>
      </w:r>
      <w:r w:rsidR="00063367">
        <w:t xml:space="preserve"> reconociendo el deterioro de existencias,</w:t>
      </w:r>
      <w:r w:rsidR="00063367" w:rsidRPr="00063367">
        <w:t xml:space="preserve"> el impuesto de sociedades y el beneficio neto correspondientes al ejercicio anual terminado el 31 de diciembre de </w:t>
      </w:r>
      <w:r w:rsidR="00063367">
        <w:t>2017</w:t>
      </w:r>
      <w:r w:rsidR="00063367" w:rsidRPr="00063367">
        <w:t xml:space="preserve"> deberían haberse disminuido en </w:t>
      </w:r>
      <w:r w:rsidR="00063367">
        <w:t>64.500 euros y en 193.500 euros</w:t>
      </w:r>
      <w:r w:rsidR="00063367" w:rsidRPr="00063367">
        <w:t xml:space="preserve"> respectivamente</w:t>
      </w:r>
      <w:r w:rsidR="00063367">
        <w:t>,</w:t>
      </w:r>
      <w:r w:rsidR="00063367" w:rsidRPr="00063367">
        <w:t xml:space="preserve"> y el patrimonio neto al 31 de diciembre de </w:t>
      </w:r>
      <w:r w:rsidR="00063367">
        <w:t>2017</w:t>
      </w:r>
      <w:r w:rsidR="00063367" w:rsidRPr="00063367">
        <w:t xml:space="preserve"> debería disminuirse en 193.500 euros. </w:t>
      </w:r>
    </w:p>
    <w:p w:rsidR="00BD6B2E" w:rsidRDefault="00BD6B2E" w:rsidP="00BD6B2E">
      <w:pPr>
        <w:jc w:val="both"/>
        <w:rPr>
          <w:b/>
        </w:rPr>
      </w:pPr>
    </w:p>
    <w:p w:rsidR="00BD6B2E" w:rsidRPr="00787835" w:rsidRDefault="00BD6B2E" w:rsidP="00BD6B2E">
      <w:pPr>
        <w:jc w:val="both"/>
        <w:rPr>
          <w:b/>
        </w:rPr>
      </w:pPr>
      <w:r>
        <w:rPr>
          <w:b/>
        </w:rPr>
        <w:t>Responsabilidad de los administradores en relación con las cuentas anuales</w:t>
      </w:r>
    </w:p>
    <w:p w:rsidR="00BD6B2E" w:rsidRDefault="00BD6B2E" w:rsidP="00BD6B2E">
      <w:pPr>
        <w:jc w:val="both"/>
      </w:pPr>
      <w: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las cuentas anuales libres de incorrección material, debida a fraude o error.</w:t>
      </w:r>
    </w:p>
    <w:p w:rsidR="00BD6B2E" w:rsidRDefault="00BD6B2E" w:rsidP="00BD6B2E">
      <w:pPr>
        <w:jc w:val="both"/>
      </w:pPr>
      <w:r>
        <w:lastRenderedPageBreak/>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BD6B2E" w:rsidRDefault="00BD6B2E" w:rsidP="00BD6B2E">
      <w:pPr>
        <w:jc w:val="both"/>
      </w:pPr>
    </w:p>
    <w:p w:rsidR="00BD6B2E" w:rsidRPr="00135E11" w:rsidRDefault="00BD6B2E" w:rsidP="00BD6B2E">
      <w:pPr>
        <w:jc w:val="both"/>
        <w:rPr>
          <w:b/>
        </w:rPr>
      </w:pPr>
      <w:r>
        <w:rPr>
          <w:b/>
        </w:rPr>
        <w:t>Responsabilidades del auditor en relación con la auditoría de las cuentas anuales</w:t>
      </w:r>
    </w:p>
    <w:p w:rsidR="00BD6B2E" w:rsidRDefault="00BD6B2E" w:rsidP="00BD6B2E">
      <w:pPr>
        <w:jc w:val="both"/>
      </w:pPr>
      <w:r>
        <w:t xml:space="preserve">Nuestros objetivos son obtener una seguridad razonable de que las cuentas anuales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BD6B2E" w:rsidRDefault="00BD6B2E" w:rsidP="00BD6B2E">
      <w:pPr>
        <w:jc w:val="both"/>
      </w:pPr>
      <w:r>
        <w:t xml:space="preserve">Como parte de una auditoría de conformidad con la normativa reguladora de la actividad de auditoría de cuentas en España, aplicamos nuestro juicio profesional y mantenemos una actitud de escepticismo profesional durante toda la auditoría. También: </w:t>
      </w:r>
    </w:p>
    <w:p w:rsidR="00BD6B2E" w:rsidRDefault="00BD6B2E" w:rsidP="00BD6B2E">
      <w:pPr>
        <w:pStyle w:val="Prrafodelista"/>
        <w:numPr>
          <w:ilvl w:val="0"/>
          <w:numId w:val="11"/>
        </w:numPr>
        <w:spacing w:after="200" w:line="276" w:lineRule="auto"/>
        <w:jc w:val="both"/>
      </w:pPr>
      <w: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BD6B2E" w:rsidRDefault="00BD6B2E" w:rsidP="00BD6B2E">
      <w:pPr>
        <w:pStyle w:val="Prrafodelista"/>
        <w:numPr>
          <w:ilvl w:val="0"/>
          <w:numId w:val="11"/>
        </w:numPr>
        <w:spacing w:after="200" w:line="276" w:lineRule="auto"/>
        <w:jc w:val="both"/>
      </w:pPr>
      <w: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rsidR="00BD6B2E" w:rsidRDefault="00BD6B2E" w:rsidP="00BD6B2E">
      <w:pPr>
        <w:pStyle w:val="Prrafodelista"/>
        <w:numPr>
          <w:ilvl w:val="0"/>
          <w:numId w:val="11"/>
        </w:numPr>
        <w:spacing w:after="200" w:line="276" w:lineRule="auto"/>
        <w:jc w:val="both"/>
      </w:pPr>
      <w:r>
        <w:t>Evaluamos si las políticas contables aplicadas son adecuadas y la razonabilidad de las estimaciones contables y la correspondiente información revelada por los administradores.</w:t>
      </w:r>
    </w:p>
    <w:p w:rsidR="00BD6B2E" w:rsidRDefault="00BD6B2E" w:rsidP="00BD6B2E">
      <w:pPr>
        <w:pStyle w:val="Prrafodelista"/>
        <w:numPr>
          <w:ilvl w:val="0"/>
          <w:numId w:val="11"/>
        </w:numPr>
        <w:spacing w:after="200" w:line="276" w:lineRule="auto"/>
        <w:jc w:val="both"/>
      </w:pPr>
      <w:r>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condiciones que puedan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w:t>
      </w:r>
      <w:r>
        <w:lastRenderedPageBreak/>
        <w:t xml:space="preserve">fecha de nuestro informe de auditoría. Sin embargo, los hechos o condiciones futuros pueden ser la causa de que la Sociedad deje de ser una empresa en funcionamiento. </w:t>
      </w:r>
    </w:p>
    <w:p w:rsidR="00BD6B2E" w:rsidRDefault="00BD6B2E" w:rsidP="00BD6B2E">
      <w:pPr>
        <w:pStyle w:val="Prrafodelista"/>
        <w:numPr>
          <w:ilvl w:val="0"/>
          <w:numId w:val="11"/>
        </w:numPr>
        <w:spacing w:after="200" w:line="276" w:lineRule="auto"/>
        <w:jc w:val="both"/>
      </w:pPr>
      <w:r>
        <w:t>Evaluamos la presentación global, la estructura y el contenido de las cuentas anuales, incluida la información revelada, y si las cuentas anuales representan las transacciones y hechos subyacentes de un modo que logran expresar la imagen fiel.</w:t>
      </w:r>
    </w:p>
    <w:p w:rsidR="00BD6B2E" w:rsidRDefault="00BD6B2E" w:rsidP="00BD6B2E">
      <w:pPr>
        <w:jc w:val="both"/>
      </w:pPr>
      <w:r>
        <w:t xml:space="preserve">Nos comunicamos con los administradores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BD6B2E" w:rsidRDefault="00BD6B2E" w:rsidP="00BD6B2E">
      <w:pPr>
        <w:jc w:val="both"/>
      </w:pPr>
      <w:r>
        <w:t>Entre los riesgos significativos que han sido objeto de comunicación a los administradores de la entidad, determinamos los que han sido de la mayor significatividad en la auditoría de las cuentas anuales del periodo actual y que son, en consecuencia, los riesgos considerados más significativos.</w:t>
      </w:r>
    </w:p>
    <w:p w:rsidR="00BD6B2E" w:rsidRDefault="00BD6B2E" w:rsidP="00BD6B2E">
      <w:pPr>
        <w:jc w:val="both"/>
      </w:pPr>
      <w:r>
        <w:t>Describimos esos riesgos en nuestro informe de auditoría salvo que las disposiciones legales o reglamentarias prohíban revelar públicamente la cuestión.</w:t>
      </w:r>
    </w:p>
    <w:p w:rsidR="00BD6B2E" w:rsidRDefault="00BD6B2E" w:rsidP="00BD6B2E">
      <w:pPr>
        <w:jc w:val="both"/>
        <w:rPr>
          <w:b/>
        </w:rPr>
      </w:pPr>
    </w:p>
    <w:p w:rsidR="00BD6B2E" w:rsidRDefault="00BD6B2E" w:rsidP="00BD6B2E">
      <w:pPr>
        <w:spacing w:after="0"/>
        <w:jc w:val="both"/>
        <w:rPr>
          <w:b/>
        </w:rPr>
      </w:pPr>
      <w:r>
        <w:rPr>
          <w:b/>
        </w:rPr>
        <w:t>Nombre completo y número ROAC del auditor</w:t>
      </w:r>
    </w:p>
    <w:p w:rsidR="00BD6B2E" w:rsidRDefault="00BD6B2E" w:rsidP="00BD6B2E">
      <w:pPr>
        <w:spacing w:after="0"/>
        <w:jc w:val="both"/>
        <w:rPr>
          <w:b/>
        </w:rPr>
      </w:pPr>
      <w:r>
        <w:rPr>
          <w:b/>
        </w:rPr>
        <w:t>Firma</w:t>
      </w:r>
    </w:p>
    <w:p w:rsidR="00BD6B2E" w:rsidRDefault="00BD6B2E" w:rsidP="00BD6B2E">
      <w:pPr>
        <w:spacing w:after="0"/>
        <w:jc w:val="both"/>
        <w:rPr>
          <w:b/>
        </w:rPr>
      </w:pPr>
      <w:r>
        <w:rPr>
          <w:b/>
        </w:rPr>
        <w:t>Fecha del informe de auditoría</w:t>
      </w:r>
    </w:p>
    <w:p w:rsidR="00BD6B2E" w:rsidRPr="001600B6" w:rsidRDefault="00BD6B2E" w:rsidP="00BD6B2E">
      <w:pPr>
        <w:spacing w:after="0"/>
        <w:jc w:val="both"/>
        <w:rPr>
          <w:b/>
        </w:rPr>
      </w:pPr>
      <w:r>
        <w:rPr>
          <w:b/>
        </w:rPr>
        <w:t>Dirección del auditor y, en el caso de sociedad de auditoría, dirección y número ROAC de la Sociedad</w:t>
      </w:r>
    </w:p>
    <w:p w:rsidR="00BD6B2E" w:rsidRDefault="00BD6B2E" w:rsidP="007B1F37"/>
    <w:sectPr w:rsidR="00BD6B2E" w:rsidSect="0087145A">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1" w:right="1134" w:bottom="158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03" w:rsidRDefault="00720E03" w:rsidP="00845552">
      <w:pPr>
        <w:spacing w:after="0" w:line="240" w:lineRule="auto"/>
      </w:pPr>
      <w:r>
        <w:separator/>
      </w:r>
    </w:p>
  </w:endnote>
  <w:endnote w:type="continuationSeparator" w:id="0">
    <w:p w:rsidR="00720E03" w:rsidRDefault="00720E03" w:rsidP="0084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43" w:rsidRDefault="00860D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E57A89" w:rsidRDefault="00860D43" w:rsidP="00860D43">
    <w:pPr>
      <w:pStyle w:val="Piedepgina"/>
    </w:pPr>
    <w:r>
      <w:fldChar w:fldCharType="begin"/>
    </w:r>
    <w:r>
      <w:instrText>PAGE   \* MERGEFORMAT</w:instrText>
    </w:r>
    <w:r>
      <w:fldChar w:fldCharType="separate"/>
    </w:r>
    <w:r>
      <w:rPr>
        <w:noProof/>
      </w:rPr>
      <w:t>1</w:t>
    </w:r>
    <w:r>
      <w:fldChar w:fldCharType="end"/>
    </w:r>
    <w:r w:rsidR="00E57A89">
      <w:rPr>
        <w:rFonts w:ascii="Arial" w:hAnsi="Arial" w:cs="Arial"/>
        <w:noProof/>
        <w:sz w:val="20"/>
        <w:szCs w:val="20"/>
        <w:lang w:eastAsia="es-ES"/>
      </w:rPr>
      <w:drawing>
        <wp:anchor distT="0" distB="0" distL="114300" distR="114300" simplePos="0" relativeHeight="251662336" behindDoc="1" locked="0" layoutInCell="1" allowOverlap="1" wp14:anchorId="5B093E0F" wp14:editId="0C9E9939">
          <wp:simplePos x="0" y="0"/>
          <wp:positionH relativeFrom="column">
            <wp:posOffset>7631693</wp:posOffset>
          </wp:positionH>
          <wp:positionV relativeFrom="paragraph">
            <wp:posOffset>-187385</wp:posOffset>
          </wp:positionV>
          <wp:extent cx="1304925" cy="483306"/>
          <wp:effectExtent l="0" t="0" r="0" b="0"/>
          <wp:wrapNone/>
          <wp:docPr id="4" name="Imagen 4" descr="cid:image001.png@01D53732.2C7D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53732.2C7D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48330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43" w:rsidRDefault="00860D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03" w:rsidRDefault="00720E03" w:rsidP="00845552">
      <w:pPr>
        <w:spacing w:after="0" w:line="240" w:lineRule="auto"/>
      </w:pPr>
      <w:r>
        <w:separator/>
      </w:r>
    </w:p>
  </w:footnote>
  <w:footnote w:type="continuationSeparator" w:id="0">
    <w:p w:rsidR="00720E03" w:rsidRDefault="00720E03" w:rsidP="00845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43" w:rsidRDefault="00860D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52" w:rsidRDefault="00B67ACC">
    <w:pPr>
      <w:pStyle w:val="Encabezado"/>
    </w:pPr>
    <w:r w:rsidRPr="007B1F37">
      <w:rPr>
        <w:b/>
        <w:color w:val="44546A" w:themeColor="text2"/>
        <w:sz w:val="28"/>
        <w:szCs w:val="28"/>
      </w:rPr>
      <w:t>CASO</w:t>
    </w:r>
    <w:r>
      <w:rPr>
        <w:b/>
        <w:color w:val="44546A" w:themeColor="text2"/>
        <w:sz w:val="28"/>
        <w:szCs w:val="28"/>
      </w:rPr>
      <w:t>S</w:t>
    </w:r>
    <w:r w:rsidRPr="007B1F37">
      <w:rPr>
        <w:b/>
        <w:color w:val="44546A" w:themeColor="text2"/>
        <w:sz w:val="28"/>
        <w:szCs w:val="28"/>
      </w:rPr>
      <w:t xml:space="preserve"> PRÁCTICOS PARA DEBATIR</w:t>
    </w:r>
    <w:r>
      <w:rPr>
        <w:noProof/>
        <w:lang w:eastAsia="es-ES"/>
      </w:rPr>
      <w:t xml:space="preserve"> </w:t>
    </w:r>
    <w:r w:rsidR="00140EE4">
      <w:rPr>
        <w:noProof/>
        <w:lang w:eastAsia="es-ES"/>
      </w:rPr>
      <w:drawing>
        <wp:anchor distT="0" distB="0" distL="114300" distR="114300" simplePos="0" relativeHeight="251658240" behindDoc="1" locked="0" layoutInCell="1" allowOverlap="1" wp14:anchorId="7C5C320B" wp14:editId="77F8CFF8">
          <wp:simplePos x="0" y="0"/>
          <wp:positionH relativeFrom="column">
            <wp:posOffset>7803826</wp:posOffset>
          </wp:positionH>
          <wp:positionV relativeFrom="paragraph">
            <wp:posOffset>-351945</wp:posOffset>
          </wp:positionV>
          <wp:extent cx="1082040" cy="942975"/>
          <wp:effectExtent l="0" t="0" r="3810" b="9525"/>
          <wp:wrapTight wrapText="bothSides">
            <wp:wrapPolygon edited="0">
              <wp:start x="0" y="0"/>
              <wp:lineTo x="0" y="21382"/>
              <wp:lineTo x="21296" y="21382"/>
              <wp:lineTo x="21296" y="0"/>
              <wp:lineTo x="0" y="0"/>
            </wp:wrapPolygon>
          </wp:wrapTight>
          <wp:docPr id="6" name="Imagen 6" descr="Z:\T EJER\Audit.JMH 17-18\AAA\Sello\Sello 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 EJER\Audit.JMH 17-18\AAA\Sello\Sello A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EE4">
      <w:rPr>
        <w:noProof/>
        <w:lang w:eastAsia="es-ES"/>
      </w:rPr>
      <mc:AlternateContent>
        <mc:Choice Requires="wps">
          <w:drawing>
            <wp:anchor distT="0" distB="0" distL="114300" distR="114300" simplePos="0" relativeHeight="251659264" behindDoc="0" locked="0" layoutInCell="1" allowOverlap="1" wp14:anchorId="1ACF338E" wp14:editId="19F99ADE">
              <wp:simplePos x="0" y="0"/>
              <wp:positionH relativeFrom="column">
                <wp:posOffset>2049803</wp:posOffset>
              </wp:positionH>
              <wp:positionV relativeFrom="paragraph">
                <wp:posOffset>473974</wp:posOffset>
              </wp:positionV>
              <wp:extent cx="5805577" cy="25772"/>
              <wp:effectExtent l="0" t="0" r="24130" b="31750"/>
              <wp:wrapNone/>
              <wp:docPr id="2" name="Conector recto 2"/>
              <wp:cNvGraphicFramePr/>
              <a:graphic xmlns:a="http://schemas.openxmlformats.org/drawingml/2006/main">
                <a:graphicData uri="http://schemas.microsoft.com/office/word/2010/wordprocessingShape">
                  <wps:wsp>
                    <wps:cNvCnPr/>
                    <wps:spPr>
                      <a:xfrm flipH="1">
                        <a:off x="0" y="0"/>
                        <a:ext cx="5805577" cy="25772"/>
                      </a:xfrm>
                      <a:prstGeom prst="line">
                        <a:avLst/>
                      </a:prstGeom>
                      <a:ln w="158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D558C" id="Conector recto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pt,37.3pt" to="618.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" strokecolor="#1f3763 [1608]" strokeweight="1.25pt">
              <v:stroke joinstyle="miter"/>
            </v:line>
          </w:pict>
        </mc:Fallback>
      </mc:AlternateContent>
    </w:r>
    <w:r w:rsidR="00140EE4">
      <w:rPr>
        <w:noProof/>
        <w:lang w:eastAsia="es-ES"/>
      </w:rPr>
      <mc:AlternateContent>
        <mc:Choice Requires="wps">
          <w:drawing>
            <wp:anchor distT="0" distB="0" distL="114300" distR="114300" simplePos="0" relativeHeight="251661312" behindDoc="0" locked="0" layoutInCell="1" allowOverlap="1" wp14:anchorId="17B6E6AE" wp14:editId="5EBC653F">
              <wp:simplePos x="0" y="0"/>
              <wp:positionH relativeFrom="column">
                <wp:posOffset>5343</wp:posOffset>
              </wp:positionH>
              <wp:positionV relativeFrom="paragraph">
                <wp:posOffset>534357</wp:posOffset>
              </wp:positionV>
              <wp:extent cx="6719977" cy="8627"/>
              <wp:effectExtent l="0" t="0" r="24130" b="29845"/>
              <wp:wrapNone/>
              <wp:docPr id="3" name="Conector recto 3"/>
              <wp:cNvGraphicFramePr/>
              <a:graphic xmlns:a="http://schemas.openxmlformats.org/drawingml/2006/main">
                <a:graphicData uri="http://schemas.microsoft.com/office/word/2010/wordprocessingShape">
                  <wps:wsp>
                    <wps:cNvCnPr/>
                    <wps:spPr>
                      <a:xfrm flipH="1" flipV="1">
                        <a:off x="0" y="0"/>
                        <a:ext cx="6719977" cy="8627"/>
                      </a:xfrm>
                      <a:prstGeom prst="line">
                        <a:avLst/>
                      </a:prstGeom>
                      <a:ln w="158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2B412" id="Conector recto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2.1pt" to="529.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" strokecolor="#1f3763 [1608]" strokeweight="1.2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43" w:rsidRDefault="00860D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A96B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67144D"/>
    <w:multiLevelType w:val="hybridMultilevel"/>
    <w:tmpl w:val="9C4479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172172"/>
    <w:multiLevelType w:val="hybridMultilevel"/>
    <w:tmpl w:val="AE2A29BC"/>
    <w:lvl w:ilvl="0" w:tplc="6D6C5E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40614F"/>
    <w:multiLevelType w:val="hybridMultilevel"/>
    <w:tmpl w:val="99E6B438"/>
    <w:lvl w:ilvl="0" w:tplc="3298528E">
      <w:start w:val="1"/>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D05BA6"/>
    <w:multiLevelType w:val="hybridMultilevel"/>
    <w:tmpl w:val="AC3AA278"/>
    <w:lvl w:ilvl="0" w:tplc="1506F140">
      <w:start w:val="1"/>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F43E82"/>
    <w:multiLevelType w:val="hybridMultilevel"/>
    <w:tmpl w:val="F7C61B5E"/>
    <w:lvl w:ilvl="0" w:tplc="79B82230">
      <w:start w:val="1"/>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7153B5"/>
    <w:multiLevelType w:val="hybridMultilevel"/>
    <w:tmpl w:val="B13252B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C8E4965"/>
    <w:multiLevelType w:val="hybridMultilevel"/>
    <w:tmpl w:val="3DD6A862"/>
    <w:lvl w:ilvl="0" w:tplc="A5B0FCA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550C42"/>
    <w:multiLevelType w:val="hybridMultilevel"/>
    <w:tmpl w:val="DFE85040"/>
    <w:lvl w:ilvl="0" w:tplc="37EE2C7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940509"/>
    <w:multiLevelType w:val="hybridMultilevel"/>
    <w:tmpl w:val="A6EC4A14"/>
    <w:lvl w:ilvl="0" w:tplc="EB469132">
      <w:start w:val="1"/>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5316A4"/>
    <w:multiLevelType w:val="hybridMultilevel"/>
    <w:tmpl w:val="04268E5E"/>
    <w:lvl w:ilvl="0" w:tplc="A636FE5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9"/>
  </w:num>
  <w:num w:numId="6">
    <w:abstractNumId w:val="0"/>
  </w:num>
  <w:num w:numId="7">
    <w:abstractNumId w:val="6"/>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52"/>
    <w:rsid w:val="00063367"/>
    <w:rsid w:val="00130AC4"/>
    <w:rsid w:val="00140EE4"/>
    <w:rsid w:val="001A10B6"/>
    <w:rsid w:val="00214958"/>
    <w:rsid w:val="002178FC"/>
    <w:rsid w:val="0029254F"/>
    <w:rsid w:val="003824AC"/>
    <w:rsid w:val="004721CB"/>
    <w:rsid w:val="004A26A9"/>
    <w:rsid w:val="004B60D9"/>
    <w:rsid w:val="004C4F42"/>
    <w:rsid w:val="004C5B8D"/>
    <w:rsid w:val="004D6D8A"/>
    <w:rsid w:val="005629F2"/>
    <w:rsid w:val="005D5D4F"/>
    <w:rsid w:val="005D6876"/>
    <w:rsid w:val="006A4A07"/>
    <w:rsid w:val="006E3AED"/>
    <w:rsid w:val="006F5666"/>
    <w:rsid w:val="00720E03"/>
    <w:rsid w:val="007514B9"/>
    <w:rsid w:val="007B1F37"/>
    <w:rsid w:val="008219D8"/>
    <w:rsid w:val="00845552"/>
    <w:rsid w:val="00860D43"/>
    <w:rsid w:val="0087145A"/>
    <w:rsid w:val="008720D1"/>
    <w:rsid w:val="00890501"/>
    <w:rsid w:val="008D11C6"/>
    <w:rsid w:val="008F1FBF"/>
    <w:rsid w:val="00902C28"/>
    <w:rsid w:val="0098107C"/>
    <w:rsid w:val="009B7F7C"/>
    <w:rsid w:val="00A533A2"/>
    <w:rsid w:val="00A7422F"/>
    <w:rsid w:val="00B1280F"/>
    <w:rsid w:val="00B36118"/>
    <w:rsid w:val="00B67ACC"/>
    <w:rsid w:val="00BC16C9"/>
    <w:rsid w:val="00BD6B2E"/>
    <w:rsid w:val="00CA3F36"/>
    <w:rsid w:val="00D859D1"/>
    <w:rsid w:val="00DB5F49"/>
    <w:rsid w:val="00E205BD"/>
    <w:rsid w:val="00E20ECA"/>
    <w:rsid w:val="00E57A89"/>
    <w:rsid w:val="00EB50B2"/>
    <w:rsid w:val="00F2638F"/>
    <w:rsid w:val="00F42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chartTrackingRefBased/>
  <w15:docId w15:val="{CA95C5B4-BA97-43FB-BDD2-C60DD753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5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5552"/>
  </w:style>
  <w:style w:type="paragraph" w:styleId="Piedepgina">
    <w:name w:val="footer"/>
    <w:basedOn w:val="Normal"/>
    <w:link w:val="PiedepginaCar"/>
    <w:uiPriority w:val="99"/>
    <w:unhideWhenUsed/>
    <w:rsid w:val="008455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5552"/>
  </w:style>
  <w:style w:type="table" w:styleId="Tablaconcuadrcula">
    <w:name w:val="Table Grid"/>
    <w:basedOn w:val="Tablanormal"/>
    <w:uiPriority w:val="59"/>
    <w:rsid w:val="00845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5552"/>
    <w:pPr>
      <w:ind w:left="720"/>
      <w:contextualSpacing/>
    </w:pPr>
  </w:style>
  <w:style w:type="paragraph" w:styleId="Textodeglobo">
    <w:name w:val="Balloon Text"/>
    <w:basedOn w:val="Normal"/>
    <w:link w:val="TextodegloboCar"/>
    <w:uiPriority w:val="99"/>
    <w:semiHidden/>
    <w:unhideWhenUsed/>
    <w:rsid w:val="006F5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666"/>
    <w:rPr>
      <w:rFonts w:ascii="Segoe UI" w:hAnsi="Segoe UI" w:cs="Segoe UI"/>
      <w:sz w:val="18"/>
      <w:szCs w:val="18"/>
    </w:rPr>
  </w:style>
  <w:style w:type="paragraph" w:styleId="Listaconvietas">
    <w:name w:val="List Bullet"/>
    <w:basedOn w:val="Normal"/>
    <w:uiPriority w:val="99"/>
    <w:unhideWhenUsed/>
    <w:rsid w:val="0098107C"/>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3732.2C7D769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0D038-1DB0-4D60-A72B-EB3A1509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2969</Words>
  <Characters>16334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Jerónimo</dc:creator>
  <cp:keywords/>
  <dc:description/>
  <cp:lastModifiedBy>Jerónimo</cp:lastModifiedBy>
  <cp:revision>22</cp:revision>
  <cp:lastPrinted>2019-09-25T09:50:00Z</cp:lastPrinted>
  <dcterms:created xsi:type="dcterms:W3CDTF">2019-09-24T11:35:00Z</dcterms:created>
  <dcterms:modified xsi:type="dcterms:W3CDTF">2019-09-27T10:43:00Z</dcterms:modified>
</cp:coreProperties>
</file>